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2209" w:firstLineChars="500"/>
        <w:jc w:val="both"/>
        <w:outlineLvl w:val="0"/>
        <w:rPr>
          <w:rFonts w:hint="eastAsia" w:ascii="黑体" w:hAnsi="黑体" w:eastAsia="黑体" w:cs="黑体"/>
          <w:b/>
          <w:color w:val="000000"/>
          <w:sz w:val="44"/>
          <w:szCs w:val="24"/>
        </w:rPr>
      </w:pPr>
      <w:bookmarkStart w:id="0" w:name="_Toc_4_4_0000000019"/>
      <w:r>
        <w:rPr>
          <w:rFonts w:hint="eastAsia" w:ascii="黑体" w:hAnsi="黑体" w:eastAsia="黑体" w:cs="黑体"/>
          <w:b/>
          <w:color w:val="000000"/>
          <w:sz w:val="44"/>
          <w:szCs w:val="24"/>
          <w:lang w:eastAsia="zh-CN"/>
        </w:rPr>
        <w:t>内丘县人民检察院</w:t>
      </w:r>
      <w:r>
        <w:rPr>
          <w:rFonts w:hint="eastAsia" w:ascii="黑体" w:hAnsi="黑体" w:eastAsia="黑体" w:cs="黑体"/>
          <w:b/>
          <w:color w:val="000000"/>
          <w:sz w:val="44"/>
          <w:szCs w:val="24"/>
        </w:rPr>
        <w:t>2022年预算信息公开</w:t>
      </w:r>
    </w:p>
    <w:p>
      <w:pPr>
        <w:spacing w:beforeLines="0" w:afterLines="0"/>
        <w:jc w:val="center"/>
        <w:outlineLvl w:val="0"/>
        <w:rPr>
          <w:rFonts w:hint="eastAsia" w:ascii="黑体" w:hAnsi="黑体" w:eastAsia="黑体" w:cs="黑体"/>
          <w:b/>
          <w:color w:val="000000"/>
          <w:sz w:val="44"/>
          <w:szCs w:val="24"/>
        </w:rPr>
      </w:pPr>
    </w:p>
    <w:p>
      <w:pPr>
        <w:pStyle w:val="4"/>
        <w:tabs>
          <w:tab w:val="right" w:leader="dot" w:pos="14562"/>
        </w:tabs>
        <w:spacing w:beforeLines="0" w:afterLines="0"/>
        <w:rPr>
          <w:rFonts w:hint="default"/>
          <w:sz w:val="28"/>
          <w:szCs w:val="24"/>
          <w:lang w:val="en-US"/>
        </w:rPr>
      </w:pPr>
      <w:r>
        <w:rPr>
          <w:rFonts w:hint="default"/>
          <w:sz w:val="28"/>
          <w:szCs w:val="24"/>
        </w:rPr>
        <w:fldChar w:fldCharType="begin"/>
      </w:r>
      <w:r>
        <w:rPr>
          <w:rFonts w:hint="default"/>
          <w:sz w:val="28"/>
          <w:szCs w:val="24"/>
        </w:rPr>
        <w:instrText xml:space="preserve">TOC \o "4-4" \h \z \u</w:instrText>
      </w:r>
      <w:r>
        <w:rPr>
          <w:rFonts w:hint="default"/>
          <w:sz w:val="28"/>
          <w:szCs w:val="24"/>
        </w:rPr>
        <w:fldChar w:fldCharType="separate"/>
      </w:r>
      <w:r>
        <w:rPr>
          <w:rFonts w:hint="default"/>
          <w:sz w:val="28"/>
          <w:szCs w:val="24"/>
        </w:rPr>
        <w:fldChar w:fldCharType="begin"/>
      </w:r>
      <w:r>
        <w:rPr>
          <w:rFonts w:hint="default"/>
          <w:sz w:val="28"/>
          <w:szCs w:val="24"/>
        </w:rPr>
        <w:instrText xml:space="preserve"> HYPERLINK \l "_Toc_4_4_0000000019" </w:instrText>
      </w:r>
      <w:r>
        <w:rPr>
          <w:rFonts w:hint="default"/>
          <w:sz w:val="28"/>
          <w:szCs w:val="24"/>
        </w:rPr>
        <w:fldChar w:fldCharType="separate"/>
      </w:r>
      <w:r>
        <w:rPr>
          <w:rFonts w:hint="eastAsia"/>
          <w:sz w:val="28"/>
          <w:szCs w:val="24"/>
        </w:rPr>
        <w:t>一、内丘县人民检察院收支预算</w:t>
      </w:r>
      <w:r>
        <w:rPr>
          <w:rFonts w:hint="default"/>
          <w:sz w:val="28"/>
          <w:szCs w:val="24"/>
        </w:rPr>
        <w:tab/>
      </w:r>
      <w:r>
        <w:rPr>
          <w:rFonts w:hint="eastAsia"/>
          <w:sz w:val="28"/>
          <w:szCs w:val="24"/>
          <w:lang w:eastAsia="zh-CN"/>
        </w:rPr>
        <w:t>1</w:t>
      </w:r>
      <w:r>
        <w:rPr>
          <w:rFonts w:hint="eastAsia"/>
          <w:sz w:val="28"/>
          <w:szCs w:val="24"/>
          <w:lang w:eastAsia="zh-CN"/>
        </w:rPr>
        <w:fldChar w:fldCharType="end"/>
      </w:r>
      <w:r>
        <w:rPr>
          <w:rFonts w:hint="eastAsia"/>
          <w:sz w:val="28"/>
          <w:szCs w:val="24"/>
          <w:lang w:val="en-US" w:eastAsia="zh-CN"/>
        </w:rPr>
        <w:t>-30</w:t>
      </w:r>
    </w:p>
    <w:p>
      <w:pPr>
        <w:jc w:val="center"/>
        <w:rPr>
          <w:rFonts w:ascii="方正小标宋_GBK" w:hAnsi="方正小标宋_GBK" w:eastAsia="方正小标宋_GBK" w:cs="方正小标宋_GBK"/>
          <w:color w:val="000000"/>
          <w:sz w:val="44"/>
        </w:rPr>
        <w:sectPr>
          <w:footerReference r:id="rId3" w:type="default"/>
          <w:pgSz w:w="16840" w:h="11900" w:orient="landscape"/>
          <w:pgMar w:top="1361" w:right="1020" w:bottom="1134" w:left="1020" w:header="720" w:footer="720" w:gutter="0"/>
          <w:pgNumType w:fmt="decimal" w:start="1"/>
          <w:cols w:space="720" w:num="1"/>
        </w:sectPr>
      </w:pPr>
      <w:r>
        <w:rPr>
          <w:rFonts w:hint="default"/>
          <w:sz w:val="28"/>
          <w:szCs w:val="24"/>
        </w:rPr>
        <w:fldChar w:fldCharType="end"/>
      </w:r>
    </w:p>
    <w:p>
      <w:pPr>
        <w:ind w:firstLine="3520" w:firstLineChars="800"/>
        <w:jc w:val="both"/>
        <w:outlineLvl w:val="3"/>
      </w:pPr>
      <w:r>
        <w:rPr>
          <w:rFonts w:ascii="方正小标宋_GBK" w:hAnsi="方正小标宋_GBK" w:eastAsia="方正小标宋_GBK" w:cs="方正小标宋_GBK"/>
          <w:color w:val="000000"/>
          <w:sz w:val="44"/>
        </w:rPr>
        <w:t>一、内丘县人民检察院本级收支预算</w:t>
      </w:r>
      <w:bookmarkEnd w:id="0"/>
    </w:p>
    <w:p>
      <w:pPr>
        <w:ind w:firstLine="5040" w:firstLineChars="1400"/>
        <w:jc w:val="both"/>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314001内丘县人民检察院本级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827.3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827.3</w:t>
            </w:r>
          </w:p>
        </w:tc>
        <w:tc>
          <w:tcPr>
            <w:tcW w:w="4535" w:type="dxa"/>
            <w:vAlign w:val="center"/>
          </w:tcPr>
          <w:p>
            <w:pPr>
              <w:pStyle w:val="15"/>
            </w:pPr>
            <w:r>
              <w:t>本年支出合计</w:t>
            </w:r>
          </w:p>
        </w:tc>
        <w:tc>
          <w:tcPr>
            <w:tcW w:w="2126" w:type="dxa"/>
            <w:vAlign w:val="center"/>
          </w:tcPr>
          <w:p>
            <w:pPr>
              <w:pStyle w:val="16"/>
              <w:rPr>
                <w:rFonts w:hint="default" w:eastAsia="方正书宋_GBK"/>
                <w:lang w:val="en-US" w:eastAsia="zh-CN"/>
              </w:rPr>
            </w:pPr>
            <w:r>
              <w:rPr>
                <w:rFonts w:hint="eastAsia"/>
                <w:lang w:val="en-US" w:eastAsia="zh-CN"/>
              </w:rP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rPr>
                <w:rFonts w:hint="default" w:eastAsia="方正书宋_GBK"/>
                <w:lang w:val="en-US" w:eastAsia="zh-CN"/>
              </w:rPr>
            </w:pPr>
            <w:r>
              <w:rPr>
                <w:rFonts w:hint="eastAsia"/>
                <w:lang w:val="en-US" w:eastAsia="zh-CN"/>
              </w:rPr>
              <w:t>827.3</w:t>
            </w:r>
          </w:p>
        </w:tc>
        <w:tc>
          <w:tcPr>
            <w:tcW w:w="4535" w:type="dxa"/>
            <w:vAlign w:val="center"/>
          </w:tcPr>
          <w:p>
            <w:pPr>
              <w:pStyle w:val="15"/>
            </w:pPr>
            <w:r>
              <w:t>支出总计</w:t>
            </w:r>
          </w:p>
        </w:tc>
        <w:tc>
          <w:tcPr>
            <w:tcW w:w="2126" w:type="dxa"/>
            <w:vAlign w:val="center"/>
          </w:tcPr>
          <w:p>
            <w:pPr>
              <w:pStyle w:val="16"/>
              <w:rPr>
                <w:rFonts w:hint="default" w:eastAsia="方正书宋_GBK"/>
                <w:lang w:val="en-US" w:eastAsia="zh-CN"/>
              </w:rPr>
            </w:pPr>
            <w:r>
              <w:rPr>
                <w:rFonts w:hint="eastAsia"/>
                <w:lang w:val="en-US" w:eastAsia="zh-CN"/>
              </w:rPr>
              <w:t>827.3</w:t>
            </w:r>
          </w:p>
        </w:tc>
      </w:tr>
    </w:tbl>
    <w:p>
      <w:pPr>
        <w:sectPr>
          <w:footerReference r:id="rId4" w:type="default"/>
          <w:footerReference r:id="rId5"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314001内丘县人民检察院本级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471.25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471.25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2040403</w:t>
            </w:r>
          </w:p>
        </w:tc>
        <w:tc>
          <w:tcPr>
            <w:tcW w:w="1559" w:type="dxa"/>
            <w:vAlign w:val="center"/>
          </w:tcPr>
          <w:p>
            <w:pPr>
              <w:pStyle w:val="13"/>
            </w:pPr>
            <w:r>
              <w:t>机关服务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528.15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299.15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357.1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357.1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471.25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357.1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2040403</w:t>
            </w:r>
          </w:p>
        </w:tc>
        <w:tc>
          <w:tcPr>
            <w:tcW w:w="4535" w:type="dxa"/>
            <w:vAlign w:val="center"/>
          </w:tcPr>
          <w:p>
            <w:pPr>
              <w:pStyle w:val="13"/>
            </w:pPr>
            <w:r>
              <w:t>机关服务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1361" w:type="dxa"/>
            <w:vAlign w:val="top"/>
          </w:tcPr>
          <w:p>
            <w:pPr>
              <w:jc w:val="right"/>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827.3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top"/>
          </w:tcPr>
          <w:p>
            <w:pPr>
              <w:jc w:val="right"/>
            </w:pPr>
          </w:p>
        </w:tc>
        <w:tc>
          <w:tcPr>
            <w:tcW w:w="1474" w:type="dxa"/>
            <w:vAlign w:val="top"/>
          </w:tcPr>
          <w:p>
            <w:pPr>
              <w:jc w:val="right"/>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top"/>
          </w:tcPr>
          <w:p>
            <w:pPr>
              <w:jc w:val="right"/>
            </w:pPr>
          </w:p>
        </w:tc>
        <w:tc>
          <w:tcPr>
            <w:tcW w:w="1474" w:type="dxa"/>
            <w:vAlign w:val="top"/>
          </w:tcPr>
          <w:p>
            <w:pPr>
              <w:jc w:val="right"/>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top"/>
          </w:tcPr>
          <w:p>
            <w:pPr>
              <w:jc w:val="right"/>
            </w:pPr>
          </w:p>
        </w:tc>
        <w:tc>
          <w:tcPr>
            <w:tcW w:w="1474" w:type="dxa"/>
            <w:vAlign w:val="top"/>
          </w:tcPr>
          <w:p>
            <w:pPr>
              <w:jc w:val="right"/>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top"/>
          </w:tcPr>
          <w:p>
            <w:pPr>
              <w:jc w:val="right"/>
            </w:pPr>
          </w:p>
        </w:tc>
        <w:tc>
          <w:tcPr>
            <w:tcW w:w="1474" w:type="dxa"/>
            <w:vAlign w:val="top"/>
          </w:tcPr>
          <w:p>
            <w:pPr>
              <w:jc w:val="right"/>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54.93</w:t>
            </w:r>
          </w:p>
        </w:tc>
        <w:tc>
          <w:tcPr>
            <w:tcW w:w="1474" w:type="dxa"/>
            <w:vAlign w:val="center"/>
          </w:tcPr>
          <w:p>
            <w:pPr>
              <w:pStyle w:val="12"/>
            </w:pPr>
            <w:r>
              <w:t>54.93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827.3</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827.3</w:t>
            </w:r>
          </w:p>
        </w:tc>
        <w:tc>
          <w:tcPr>
            <w:tcW w:w="1474" w:type="dxa"/>
            <w:vAlign w:val="center"/>
          </w:tcPr>
          <w:p>
            <w:pPr>
              <w:pStyle w:val="16"/>
              <w:rPr>
                <w:rFonts w:hint="default" w:eastAsia="方正书宋_GBK"/>
                <w:lang w:val="en-US" w:eastAsia="zh-CN"/>
              </w:rPr>
            </w:pPr>
            <w:r>
              <w:rPr>
                <w:rFonts w:hint="eastAsia"/>
                <w:lang w:val="en-US" w:eastAsia="zh-CN"/>
              </w:rPr>
              <w:t>827.3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827.3</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827.3</w:t>
            </w:r>
          </w:p>
        </w:tc>
        <w:tc>
          <w:tcPr>
            <w:tcW w:w="1474" w:type="dxa"/>
            <w:vAlign w:val="center"/>
          </w:tcPr>
          <w:p>
            <w:pPr>
              <w:pStyle w:val="16"/>
              <w:rPr>
                <w:rFonts w:hint="default" w:eastAsia="方正书宋_GBK"/>
                <w:lang w:val="en-US" w:eastAsia="zh-CN"/>
              </w:rPr>
            </w:pPr>
            <w:r>
              <w:rPr>
                <w:rFonts w:hint="eastAsia"/>
                <w:lang w:val="en-US" w:eastAsia="zh-CN"/>
              </w:rPr>
              <w:t>827.3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528.15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357.1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656.25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357.1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471.25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357.1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2040403</w:t>
            </w:r>
          </w:p>
        </w:tc>
        <w:tc>
          <w:tcPr>
            <w:tcW w:w="4535" w:type="dxa"/>
            <w:vAlign w:val="center"/>
          </w:tcPr>
          <w:p>
            <w:pPr>
              <w:pStyle w:val="13"/>
            </w:pPr>
            <w:r>
              <w:t>机关服务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90.48</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528.15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432.51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424.59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424.59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107.45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107.45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69.36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69.36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10.20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22.19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22.19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25.64</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4.18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4.18</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54.93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95.64</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23.48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物业管理费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17.52</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维修（护）费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30216</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培训费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1.04</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19.2</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lang w:val="en-US" w:eastAsia="zh-CN"/>
              </w:rPr>
            </w:pPr>
            <w:r>
              <w:rPr>
                <w:rFonts w:hint="eastAsia"/>
                <w:lang w:val="en-US" w:eastAsia="zh-CN"/>
              </w:rPr>
              <w:t>22</w:t>
            </w:r>
          </w:p>
        </w:tc>
        <w:tc>
          <w:tcPr>
            <w:tcW w:w="1191" w:type="dxa"/>
            <w:vAlign w:val="center"/>
          </w:tcPr>
          <w:p>
            <w:pPr>
              <w:pStyle w:val="13"/>
              <w:rPr>
                <w:rFonts w:hint="default" w:eastAsia="方正书宋_GBK"/>
                <w:lang w:val="en-US" w:eastAsia="zh-CN"/>
              </w:rPr>
            </w:pPr>
            <w:r>
              <w:rPr>
                <w:rFonts w:hint="eastAsia"/>
                <w:lang w:val="en-US" w:eastAsia="zh-CN"/>
              </w:rPr>
              <w:t>30299</w:t>
            </w:r>
          </w:p>
        </w:tc>
        <w:tc>
          <w:tcPr>
            <w:tcW w:w="4535" w:type="dxa"/>
            <w:vAlign w:val="center"/>
          </w:tcPr>
          <w:p>
            <w:pPr>
              <w:pStyle w:val="13"/>
            </w:pPr>
            <w:r>
              <w:rPr>
                <w:rFonts w:hint="eastAsia"/>
              </w:rPr>
              <w:t>其他商品和服务支出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7.92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7.92</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3.42</w:t>
            </w:r>
          </w:p>
        </w:tc>
        <w:tc>
          <w:tcPr>
            <w:tcW w:w="2551" w:type="dxa"/>
            <w:vAlign w:val="top"/>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314001内丘县人民检察院本级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2381" w:type="dxa"/>
            <w:vAlign w:val="center"/>
          </w:tcPr>
          <w:p>
            <w:pPr>
              <w:jc w:val="right"/>
              <w:rPr>
                <w:rFonts w:hint="default" w:eastAsia="宋体"/>
                <w:lang w:val="en-US" w:eastAsia="zh-CN"/>
              </w:rPr>
            </w:pPr>
            <w:r>
              <w:rPr>
                <w:rFonts w:hint="eastAsia" w:eastAsia="宋体"/>
                <w:lang w:val="en-US" w:eastAsia="zh-CN"/>
              </w:rPr>
              <w:t>20.00</w:t>
            </w:r>
          </w:p>
        </w:tc>
        <w:tc>
          <w:tcPr>
            <w:tcW w:w="2381" w:type="dxa"/>
            <w:vAlign w:val="center"/>
          </w:tcPr>
          <w:p>
            <w:pPr>
              <w:jc w:val="right"/>
              <w:rPr>
                <w:rFonts w:hint="default" w:eastAsia="宋体"/>
                <w:lang w:val="en-US" w:eastAsia="zh-CN"/>
              </w:rPr>
            </w:pPr>
            <w:r>
              <w:rPr>
                <w:rFonts w:hint="eastAsia" w:eastAsia="宋体"/>
                <w:lang w:val="en-US" w:eastAsia="zh-CN"/>
              </w:rP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2381" w:type="dxa"/>
            <w:vAlign w:val="center"/>
          </w:tcPr>
          <w:p>
            <w:pPr>
              <w:jc w:val="right"/>
            </w:pPr>
          </w:p>
        </w:tc>
        <w:tc>
          <w:tcPr>
            <w:tcW w:w="2381" w:type="dxa"/>
            <w:vAlign w:val="center"/>
          </w:tcPr>
          <w:p>
            <w:pPr>
              <w:jc w:val="right"/>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2381" w:type="dxa"/>
            <w:vAlign w:val="center"/>
          </w:tcPr>
          <w:p>
            <w:pPr>
              <w:jc w:val="right"/>
              <w:rPr>
                <w:rFonts w:hint="default" w:eastAsia="宋体"/>
                <w:lang w:val="en-US" w:eastAsia="zh-CN"/>
              </w:rPr>
            </w:pPr>
            <w:r>
              <w:rPr>
                <w:rFonts w:hint="eastAsia" w:eastAsia="宋体"/>
                <w:lang w:val="en-US" w:eastAsia="zh-CN"/>
              </w:rPr>
              <w:t>20.00</w:t>
            </w:r>
          </w:p>
        </w:tc>
        <w:tc>
          <w:tcPr>
            <w:tcW w:w="2381" w:type="dxa"/>
            <w:vAlign w:val="center"/>
          </w:tcPr>
          <w:p>
            <w:pPr>
              <w:jc w:val="right"/>
              <w:rPr>
                <w:rFonts w:hint="default" w:eastAsia="宋体"/>
                <w:lang w:val="en-US" w:eastAsia="zh-CN"/>
              </w:rPr>
            </w:pPr>
            <w:r>
              <w:rPr>
                <w:rFonts w:hint="eastAsia" w:eastAsia="宋体"/>
                <w:lang w:val="en-US" w:eastAsia="zh-CN"/>
              </w:rP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4</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2381" w:type="dxa"/>
            <w:vAlign w:val="center"/>
          </w:tcPr>
          <w:p>
            <w:pPr>
              <w:jc w:val="right"/>
            </w:pPr>
          </w:p>
        </w:tc>
        <w:tc>
          <w:tcPr>
            <w:tcW w:w="2381" w:type="dxa"/>
            <w:vAlign w:val="center"/>
          </w:tcPr>
          <w:p>
            <w:pPr>
              <w:jc w:val="right"/>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5</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20.00</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6</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2381" w:type="dxa"/>
            <w:vAlign w:val="center"/>
          </w:tcPr>
          <w:p>
            <w:pPr>
              <w:jc w:val="right"/>
            </w:pPr>
          </w:p>
        </w:tc>
        <w:tc>
          <w:tcPr>
            <w:tcW w:w="2381" w:type="dxa"/>
            <w:vAlign w:val="center"/>
          </w:tcPr>
          <w:p>
            <w:pPr>
              <w:jc w:val="right"/>
            </w:pPr>
          </w:p>
        </w:tc>
        <w:tc>
          <w:tcPr>
            <w:tcW w:w="2381" w:type="dxa"/>
            <w:vAlign w:val="center"/>
          </w:tcPr>
          <w:p>
            <w:pPr>
              <w:pStyle w:val="12"/>
            </w:pPr>
          </w:p>
        </w:tc>
        <w:tc>
          <w:tcPr>
            <w:tcW w:w="2381" w:type="dxa"/>
            <w:vAlign w:val="center"/>
          </w:tcPr>
          <w:p>
            <w:pPr>
              <w:pStyle w:val="12"/>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内丘县人民检察院本级2022年单位预算信息公开情况说明</w:t>
      </w:r>
    </w:p>
    <w:p>
      <w:pPr>
        <w:jc w:val="both"/>
        <w:outlineLvl w:val="4"/>
        <w:rPr>
          <w:rFonts w:ascii="方正小标宋_GBK" w:hAnsi="方正小标宋_GBK" w:eastAsia="方正小标宋_GBK" w:cs="方正小标宋_GBK"/>
          <w:color w:val="000000"/>
          <w:sz w:val="44"/>
        </w:rPr>
      </w:pPr>
    </w:p>
    <w:p>
      <w:pPr>
        <w:spacing w:line="500" w:lineRule="exact"/>
        <w:ind w:firstLine="560"/>
        <w:rPr>
          <w:rFonts w:eastAsia="方正仿宋_GBK"/>
          <w:color w:val="000000"/>
          <w:sz w:val="28"/>
        </w:rPr>
      </w:pPr>
      <w:r>
        <w:rPr>
          <w:rFonts w:eastAsia="方正仿宋_GBK"/>
          <w:color w:val="000000"/>
          <w:sz w:val="28"/>
        </w:rPr>
        <w:t>按照《预算法》、《地方预决算公开操作规程》和《关于进一步推进预算公开工作的实施意见》规定，现将内丘县人民检察院本级2022年单位预算公开如下：</w:t>
      </w:r>
    </w:p>
    <w:p>
      <w:pPr>
        <w:spacing w:line="500" w:lineRule="exact"/>
        <w:ind w:firstLine="560"/>
        <w:rPr>
          <w:rFonts w:eastAsia="方正仿宋_GBK"/>
          <w:color w:val="000000"/>
          <w:sz w:val="28"/>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一、单位职责及机构设置情况</w:t>
      </w: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8"/>
        <w:rPr>
          <w:rFonts w:hint="eastAsia" w:eastAsia="方正仿宋_GBK"/>
          <w:lang w:eastAsia="zh-CN"/>
        </w:rPr>
      </w:pPr>
      <w:r>
        <w:t>内丘县人民检察院</w:t>
      </w:r>
      <w:r>
        <w:rPr>
          <w:rFonts w:hint="eastAsia"/>
          <w:lang w:eastAsia="zh-CN"/>
        </w:rPr>
        <w:t>本级</w:t>
      </w:r>
      <w:r>
        <w:t>职责</w:t>
      </w:r>
      <w:r>
        <w:rPr>
          <w:rFonts w:hint="eastAsia"/>
          <w:lang w:eastAsia="zh-CN"/>
        </w:rPr>
        <w:t>：</w:t>
      </w:r>
    </w:p>
    <w:p>
      <w:pPr>
        <w:pStyle w:val="18"/>
      </w:pPr>
      <w:r>
        <w:t>一、</w:t>
      </w:r>
      <w:r>
        <w:tab/>
      </w:r>
      <w:r>
        <w:t>查办县人大及常委会和上级检察院交办的案件和其他事项。</w:t>
      </w:r>
    </w:p>
    <w:p>
      <w:pPr>
        <w:pStyle w:val="18"/>
      </w:pPr>
      <w:r>
        <w:t>二、</w:t>
      </w:r>
      <w:r>
        <w:tab/>
      </w:r>
      <w:r>
        <w:t>依法向县人大及常委会提出议案。</w:t>
      </w:r>
    </w:p>
    <w:p>
      <w:pPr>
        <w:pStyle w:val="18"/>
      </w:pPr>
      <w:r>
        <w:t>三、</w:t>
      </w:r>
      <w:r>
        <w:tab/>
      </w:r>
      <w:r>
        <w:t>依法对贪污贿赂、渎职犯罪、滥用职权等犯罪情况进行侦查。</w:t>
      </w:r>
    </w:p>
    <w:p>
      <w:pPr>
        <w:pStyle w:val="18"/>
      </w:pPr>
      <w:r>
        <w:t>四、</w:t>
      </w:r>
      <w:r>
        <w:tab/>
      </w:r>
      <w:r>
        <w:t>对重大刑事案犯依法审查批捕、提请公诉，并排员出席法庭，履行法律监督职责。</w:t>
      </w:r>
    </w:p>
    <w:p>
      <w:pPr>
        <w:pStyle w:val="18"/>
      </w:pPr>
      <w:r>
        <w:t>五、</w:t>
      </w:r>
      <w:r>
        <w:tab/>
      </w:r>
      <w:r>
        <w:t>依法开展对民事、经济审判和行政诉讼活动的法律监督工作。</w:t>
      </w:r>
    </w:p>
    <w:p>
      <w:pPr>
        <w:pStyle w:val="18"/>
      </w:pPr>
      <w:r>
        <w:t>六、</w:t>
      </w:r>
      <w:r>
        <w:tab/>
      </w:r>
      <w:r>
        <w:t>对本级人民法院确有错误的判决和裁定，依法提起抗诉。</w:t>
      </w:r>
    </w:p>
    <w:p>
      <w:pPr>
        <w:pStyle w:val="18"/>
      </w:pPr>
      <w:r>
        <w:t>七、</w:t>
      </w:r>
      <w:r>
        <w:tab/>
      </w:r>
      <w:r>
        <w:t>受理公民（或单位）控告、申诉和检举，办理刑事赔偿事项。</w:t>
      </w:r>
    </w:p>
    <w:p>
      <w:pPr>
        <w:pStyle w:val="18"/>
      </w:pPr>
      <w:r>
        <w:t>八、</w:t>
      </w:r>
      <w:r>
        <w:tab/>
      </w:r>
      <w:r>
        <w:t>受理对贪污、贿赂、侵权、渎职等职务犯罪的举报。</w:t>
      </w:r>
    </w:p>
    <w:p>
      <w:pPr>
        <w:pStyle w:val="18"/>
      </w:pPr>
      <w:r>
        <w:t>九、</w:t>
      </w:r>
      <w:r>
        <w:tab/>
      </w:r>
      <w:r>
        <w:t>负责本院思想政治工作和队伍建设，依法管理检察官、司法警察和其他检察人员。</w:t>
      </w:r>
    </w:p>
    <w:p>
      <w:pPr>
        <w:pStyle w:val="18"/>
      </w:pPr>
      <w:r>
        <w:t>十、</w:t>
      </w:r>
      <w:r>
        <w:tab/>
      </w:r>
      <w:r>
        <w:t>协同县委、县政法委、县委组织部管理、考核院级领导班子及成员；提请县人大常委会决定任免副检察长、检委会委员、检察员。</w:t>
      </w:r>
    </w:p>
    <w:p>
      <w:pPr>
        <w:pStyle w:val="18"/>
      </w:pPr>
      <w:r>
        <w:t>十一、协同主管部门管理检察院警的机构设置、人员编制。</w:t>
      </w:r>
    </w:p>
    <w:p>
      <w:pPr>
        <w:pStyle w:val="18"/>
      </w:pPr>
      <w:r>
        <w:t>十二、负责本院检察官等级、司法警察衔的晋升申报和管理。</w:t>
      </w:r>
    </w:p>
    <w:p>
      <w:pPr>
        <w:pStyle w:val="18"/>
      </w:pPr>
      <w:r>
        <w:t>十三、组织和规划检察人员及司法警察的教育培训工作。</w:t>
      </w:r>
    </w:p>
    <w:p>
      <w:pPr>
        <w:pStyle w:val="18"/>
      </w:pPr>
      <w:r>
        <w:t>十四、负责本院先进集体、个人的表彰、奖励工作，并对干警执法、执纪情况实行内部监督。</w:t>
      </w:r>
    </w:p>
    <w:p>
      <w:pPr>
        <w:pStyle w:val="18"/>
      </w:pPr>
      <w:r>
        <w:t>十五、规划本院财务装备工作。</w:t>
      </w:r>
    </w:p>
    <w:p>
      <w:pPr>
        <w:pStyle w:val="18"/>
      </w:pPr>
      <w:r>
        <w:t>十六、负责其他应当由县人民检察院承办的事项。</w:t>
      </w:r>
    </w:p>
    <w:p>
      <w:pPr>
        <w:pStyle w:val="18"/>
        <w:ind w:left="0" w:leftChars="0" w:firstLine="560" w:firstLineChars="200"/>
      </w:pPr>
      <w:r>
        <w:t>其中（1）检察监督职责：对侦查机关的侦查活动、人民法院的审判活动、看守所等机关执行刑罚的活动，依法实行法律监督，维护司法公正。通过行使检察权，惩罚犯罪活动，保护国家安全，保护公民、法人和其他组织的合法权益，保障国家法律的正确实施。</w:t>
      </w:r>
    </w:p>
    <w:p>
      <w:pPr>
        <w:pStyle w:val="18"/>
      </w:pPr>
      <w:r>
        <w:t>（2）控告和刑事申诉检察职责：受理来信来访、举报、国家赔偿、司法救助工作，受理民事监督案件，办理县院管辖的信访、举报案件、国家赔偿、司法救助案件以及上级机关交办、转办、督办案件。保护公民、法人和其他单位的合法权益，促进司法公正，维护社会稳定。</w:t>
      </w:r>
    </w:p>
    <w:p>
      <w:pPr>
        <w:pStyle w:val="18"/>
      </w:pPr>
      <w:r>
        <w:t>（3）检察事务管理职责：承担系统综合业务管理和综合事务管理工作.确保全年各项检察工作圆满完成.</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pStyle w:val="26"/>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内丘县人民检察院本级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院</w:t>
      </w:r>
      <w:r>
        <w:rPr>
          <w:rFonts w:eastAsia="方正仿宋_GBK"/>
          <w:color w:val="000000"/>
          <w:sz w:val="28"/>
        </w:rPr>
        <w:t>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当年全部收入。2022年预算收入827.3万元，其中：一般公共预算拨款827.3万元，基金预算收入0万元,国有资本经营预算收入0万元，财政专户核拨收入0万元</w:t>
      </w:r>
      <w:r>
        <w:rPr>
          <w:rFonts w:hint="eastAsia" w:eastAsia="方正仿宋_GBK"/>
          <w:color w:val="000000"/>
          <w:sz w:val="28"/>
          <w:lang w:eastAsia="zh-CN"/>
        </w:rPr>
        <w:t>，</w:t>
      </w:r>
      <w:r>
        <w:rPr>
          <w:rFonts w:hint="eastAsia" w:eastAsia="方正仿宋_GBK"/>
          <w:color w:val="000000"/>
          <w:sz w:val="28"/>
        </w:rPr>
        <w:t>其他来源收入0万元。</w:t>
      </w:r>
    </w:p>
    <w:p>
      <w:pPr>
        <w:spacing w:line="500" w:lineRule="exact"/>
        <w:ind w:firstLine="560"/>
        <w:rPr>
          <w:rFonts w:hint="eastAsia"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收支预算总表支出栏、基本支出表、项目支出表按经济分类和支出功能分类科目编制，反映内丘县人民检察院年度</w:t>
      </w:r>
      <w:r>
        <w:rPr>
          <w:rFonts w:hint="eastAsia" w:eastAsia="方正仿宋_GBK"/>
          <w:color w:val="000000"/>
          <w:sz w:val="28"/>
          <w:lang w:eastAsia="zh-CN"/>
        </w:rPr>
        <w:t>单位</w:t>
      </w:r>
      <w:r>
        <w:rPr>
          <w:rFonts w:hint="eastAsia" w:eastAsia="方正仿宋_GBK"/>
          <w:color w:val="000000"/>
          <w:sz w:val="28"/>
        </w:rPr>
        <w:t>预算中支出预算的总体情况。2022年支出预算827.3万元，其中基本支出528.15万元，包括人员经费432.51万元</w:t>
      </w:r>
      <w:r>
        <w:rPr>
          <w:rFonts w:hint="eastAsia" w:eastAsia="方正仿宋_GBK"/>
          <w:color w:val="000000"/>
          <w:sz w:val="28"/>
          <w:lang w:eastAsia="zh-CN"/>
        </w:rPr>
        <w:t>和</w:t>
      </w:r>
      <w:r>
        <w:rPr>
          <w:rFonts w:hint="eastAsia" w:eastAsia="方正仿宋_GBK"/>
          <w:color w:val="000000"/>
          <w:sz w:val="28"/>
        </w:rPr>
        <w:t>公用经费95.64万元</w:t>
      </w:r>
      <w:r>
        <w:rPr>
          <w:rFonts w:hint="eastAsia" w:eastAsia="方正仿宋_GBK"/>
          <w:color w:val="000000"/>
          <w:sz w:val="28"/>
          <w:lang w:eastAsia="zh-CN"/>
        </w:rPr>
        <w:t>；</w:t>
      </w:r>
      <w:r>
        <w:rPr>
          <w:rFonts w:hint="eastAsia" w:eastAsia="方正仿宋_GBK"/>
          <w:color w:val="000000"/>
          <w:sz w:val="28"/>
        </w:rPr>
        <w:t>项目支出299.15万元，主要为综合业务管理及综合事务管理支出，其中预算内行政运行项目支出114.15万元，机关服务项目支出20万元，其他检察项目支出165万元。</w:t>
      </w:r>
    </w:p>
    <w:p>
      <w:pPr>
        <w:spacing w:line="500" w:lineRule="exact"/>
        <w:ind w:firstLine="560"/>
        <w:rPr>
          <w:rFonts w:hint="eastAsia"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rPr>
        <w:t>2022年预算收支安排827.3万元，较2021年预算增加86.92万元，其中：基本支出增加69.07万元，主要为行政单位保险经费支出的增加；项目支出增加17.85万元，主要为综合业务管理及综合事务管理中的行政运行项目支出所需</w:t>
      </w:r>
      <w:r>
        <w:rPr>
          <w:rFonts w:hint="eastAsia" w:eastAsia="方正仿宋_GBK"/>
          <w:color w:val="000000"/>
          <w:sz w:val="28"/>
          <w:lang w:eastAsia="zh-CN"/>
        </w:rPr>
        <w:t>的</w:t>
      </w:r>
      <w:r>
        <w:rPr>
          <w:rFonts w:hint="eastAsia" w:eastAsia="方正仿宋_GBK"/>
          <w:color w:val="000000"/>
          <w:sz w:val="28"/>
        </w:rPr>
        <w:t>增加。</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pPr>
      <w:r>
        <w:rPr>
          <w:rFonts w:hint="eastAsia" w:eastAsia="方正仿宋_GBK"/>
          <w:color w:val="000000"/>
          <w:sz w:val="28"/>
        </w:rPr>
        <w:t>2022年机关运行经费共计安排95.64万元，主要用于办公区的办公及印刷费、邮电费、差旅费、会议费、福利费、日常维修、水电费、办公用房取暖费、办公用房物业管理费、公务用车运行维护费等日常运行支出</w:t>
      </w:r>
    </w:p>
    <w:p>
      <w:pPr>
        <w:pStyle w:val="28"/>
      </w:pPr>
    </w:p>
    <w:p>
      <w:pPr>
        <w:numPr>
          <w:ilvl w:val="0"/>
          <w:numId w:val="0"/>
        </w:numPr>
        <w:spacing w:before="10" w:after="10"/>
        <w:ind w:left="640" w:leftChars="0"/>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pStyle w:val="29"/>
        <w:ind w:left="0" w:leftChars="0" w:firstLine="560" w:firstLineChars="200"/>
      </w:pPr>
      <w:r>
        <w:rPr>
          <w:rFonts w:hint="eastAsia"/>
        </w:rPr>
        <w:t>2022年，我</w:t>
      </w:r>
      <w:r>
        <w:rPr>
          <w:rFonts w:hint="eastAsia"/>
          <w:lang w:eastAsia="zh-CN"/>
        </w:rPr>
        <w:t>单位</w:t>
      </w:r>
      <w:r>
        <w:rPr>
          <w:rFonts w:hint="eastAsia"/>
        </w:rPr>
        <w:t>“三公”经费预算安排20万元，其中因公出国（境）费0万元；公务用车购置及运维费20万元（其中：公务用车购置费0万元，公务用车运行维护费20万元)；公务接待费0万元。与2021年相比持平，主要原因是：积极响应中央八项规定严格把控“三公”经费的支出。</w:t>
      </w:r>
    </w:p>
    <w:p>
      <w:pPr>
        <w:pStyle w:val="29"/>
        <w:ind w:left="0" w:leftChars="0" w:firstLine="0" w:firstLineChars="0"/>
      </w:pP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1、"056"平台终端检测器绩效目标表</w:t>
      </w:r>
    </w:p>
    <w:p>
      <w:pPr>
        <w:ind w:firstLine="56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1.全面完成056平台终端检测器任务，为检察业务开展提供有力保障。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设备合格率</w:t>
            </w:r>
          </w:p>
        </w:tc>
        <w:tc>
          <w:tcPr>
            <w:tcW w:w="2835" w:type="dxa"/>
            <w:vAlign w:val="center"/>
          </w:tcPr>
          <w:p>
            <w:pPr>
              <w:pStyle w:val="13"/>
            </w:pPr>
            <w:r>
              <w:t>设备合格率</w:t>
            </w:r>
          </w:p>
        </w:tc>
        <w:tc>
          <w:tcPr>
            <w:tcW w:w="2551" w:type="dxa"/>
            <w:vAlign w:val="center"/>
          </w:tcPr>
          <w:p>
            <w:pPr>
              <w:pStyle w:val="13"/>
            </w:pPr>
            <w:r>
              <w:t>100设备合格率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设备采购数量</w:t>
            </w:r>
          </w:p>
        </w:tc>
        <w:tc>
          <w:tcPr>
            <w:tcW w:w="2835" w:type="dxa"/>
            <w:vAlign w:val="center"/>
          </w:tcPr>
          <w:p>
            <w:pPr>
              <w:pStyle w:val="13"/>
            </w:pPr>
            <w:r>
              <w:t>设备采购数量</w:t>
            </w:r>
          </w:p>
        </w:tc>
        <w:tc>
          <w:tcPr>
            <w:tcW w:w="2551" w:type="dxa"/>
            <w:vAlign w:val="center"/>
          </w:tcPr>
          <w:p>
            <w:pPr>
              <w:pStyle w:val="13"/>
            </w:pPr>
            <w:r>
              <w:t>1设备采购数量</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按时完成设备招标采购</w:t>
            </w:r>
          </w:p>
        </w:tc>
        <w:tc>
          <w:tcPr>
            <w:tcW w:w="2835" w:type="dxa"/>
            <w:vAlign w:val="center"/>
          </w:tcPr>
          <w:p>
            <w:pPr>
              <w:pStyle w:val="13"/>
            </w:pPr>
            <w:r>
              <w:t>按时完成设备招标采购</w:t>
            </w:r>
          </w:p>
        </w:tc>
        <w:tc>
          <w:tcPr>
            <w:tcW w:w="2551" w:type="dxa"/>
            <w:vAlign w:val="center"/>
          </w:tcPr>
          <w:p>
            <w:pPr>
              <w:pStyle w:val="13"/>
            </w:pPr>
            <w:r>
              <w:t>≤100按时完成设备招标采购</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设备采购价格</w:t>
            </w:r>
          </w:p>
        </w:tc>
        <w:tc>
          <w:tcPr>
            <w:tcW w:w="2835" w:type="dxa"/>
            <w:vAlign w:val="center"/>
          </w:tcPr>
          <w:p>
            <w:pPr>
              <w:pStyle w:val="13"/>
            </w:pPr>
            <w:r>
              <w:t>设备采购价格</w:t>
            </w:r>
          </w:p>
        </w:tc>
        <w:tc>
          <w:tcPr>
            <w:tcW w:w="2551" w:type="dxa"/>
            <w:vAlign w:val="center"/>
          </w:tcPr>
          <w:p>
            <w:pPr>
              <w:pStyle w:val="13"/>
            </w:pPr>
            <w:r>
              <w:t>7设备采购价格</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设备运行良好</w:t>
            </w:r>
          </w:p>
        </w:tc>
        <w:tc>
          <w:tcPr>
            <w:tcW w:w="2835" w:type="dxa"/>
            <w:vAlign w:val="center"/>
          </w:tcPr>
          <w:p>
            <w:pPr>
              <w:pStyle w:val="13"/>
            </w:pPr>
            <w:r>
              <w:t>设备运行良好</w:t>
            </w:r>
          </w:p>
        </w:tc>
        <w:tc>
          <w:tcPr>
            <w:tcW w:w="2551" w:type="dxa"/>
            <w:vAlign w:val="center"/>
          </w:tcPr>
          <w:p>
            <w:pPr>
              <w:pStyle w:val="13"/>
            </w:pPr>
            <w:r>
              <w:t>≥95设备运行良好</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设备使用率</w:t>
            </w:r>
          </w:p>
        </w:tc>
        <w:tc>
          <w:tcPr>
            <w:tcW w:w="2835" w:type="dxa"/>
            <w:vAlign w:val="center"/>
          </w:tcPr>
          <w:p>
            <w:pPr>
              <w:pStyle w:val="13"/>
            </w:pPr>
            <w:r>
              <w:t>设备使用率</w:t>
            </w:r>
          </w:p>
        </w:tc>
        <w:tc>
          <w:tcPr>
            <w:tcW w:w="2551" w:type="dxa"/>
            <w:vAlign w:val="center"/>
          </w:tcPr>
          <w:p>
            <w:pPr>
              <w:pStyle w:val="13"/>
            </w:pPr>
            <w:r>
              <w:t>≥95设备使用率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设备使用率（%）</w:t>
            </w:r>
          </w:p>
        </w:tc>
        <w:tc>
          <w:tcPr>
            <w:tcW w:w="2835" w:type="dxa"/>
            <w:vAlign w:val="center"/>
          </w:tcPr>
          <w:p>
            <w:pPr>
              <w:pStyle w:val="13"/>
            </w:pPr>
            <w:r>
              <w:t>设备使用率（%）</w:t>
            </w:r>
          </w:p>
        </w:tc>
        <w:tc>
          <w:tcPr>
            <w:tcW w:w="2551" w:type="dxa"/>
            <w:vAlign w:val="center"/>
          </w:tcPr>
          <w:p>
            <w:pPr>
              <w:pStyle w:val="13"/>
            </w:pPr>
            <w:r>
              <w:t>≥90设备使用率（%）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通用设备运行或应用软件的满意率</w:t>
            </w:r>
          </w:p>
        </w:tc>
        <w:tc>
          <w:tcPr>
            <w:tcW w:w="2835" w:type="dxa"/>
            <w:vAlign w:val="center"/>
          </w:tcPr>
          <w:p>
            <w:pPr>
              <w:pStyle w:val="13"/>
            </w:pPr>
            <w:r>
              <w:t>服务申请单中满意的数量占服务申请单总数量的比率</w:t>
            </w:r>
          </w:p>
        </w:tc>
        <w:tc>
          <w:tcPr>
            <w:tcW w:w="2551" w:type="dxa"/>
            <w:vAlign w:val="center"/>
          </w:tcPr>
          <w:p>
            <w:pPr>
              <w:pStyle w:val="13"/>
            </w:pPr>
            <w:r>
              <w:t>≥95服务申请单中满意的数量占服务申请单总数量的比率</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办公楼维护绩效目标表</w:t>
      </w:r>
    </w:p>
    <w:p>
      <w:pPr>
        <w:numPr>
          <w:ilvl w:val="0"/>
          <w:numId w:val="0"/>
        </w:numPr>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1.完成办公楼维护为检察业务提供有力保障。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设备维护、房屋维修验收</w:t>
            </w:r>
          </w:p>
        </w:tc>
        <w:tc>
          <w:tcPr>
            <w:tcW w:w="2835" w:type="dxa"/>
            <w:vAlign w:val="center"/>
          </w:tcPr>
          <w:p>
            <w:pPr>
              <w:pStyle w:val="13"/>
            </w:pPr>
            <w:r>
              <w:t>设备维护、房屋维修验收</w:t>
            </w:r>
          </w:p>
        </w:tc>
        <w:tc>
          <w:tcPr>
            <w:tcW w:w="2551" w:type="dxa"/>
            <w:vAlign w:val="center"/>
          </w:tcPr>
          <w:p>
            <w:pPr>
              <w:pStyle w:val="13"/>
            </w:pPr>
            <w:r>
              <w:t>≥95设备维护、房屋维修验收</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房屋维修维护面积</w:t>
            </w:r>
          </w:p>
        </w:tc>
        <w:tc>
          <w:tcPr>
            <w:tcW w:w="2835" w:type="dxa"/>
            <w:vAlign w:val="center"/>
          </w:tcPr>
          <w:p>
            <w:pPr>
              <w:pStyle w:val="13"/>
            </w:pPr>
            <w:r>
              <w:t>房屋维修维护面积达标度</w:t>
            </w:r>
          </w:p>
        </w:tc>
        <w:tc>
          <w:tcPr>
            <w:tcW w:w="2551" w:type="dxa"/>
            <w:vAlign w:val="center"/>
          </w:tcPr>
          <w:p>
            <w:pPr>
              <w:pStyle w:val="13"/>
            </w:pPr>
            <w:r>
              <w:t>100房屋维修维护面积是否达标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房屋维护时间</w:t>
            </w:r>
          </w:p>
        </w:tc>
        <w:tc>
          <w:tcPr>
            <w:tcW w:w="2835" w:type="dxa"/>
            <w:vAlign w:val="center"/>
          </w:tcPr>
          <w:p>
            <w:pPr>
              <w:pStyle w:val="13"/>
            </w:pPr>
            <w:r>
              <w:t>单位房屋维护失效率</w:t>
            </w:r>
          </w:p>
        </w:tc>
        <w:tc>
          <w:tcPr>
            <w:tcW w:w="2551" w:type="dxa"/>
            <w:vAlign w:val="center"/>
          </w:tcPr>
          <w:p>
            <w:pPr>
              <w:pStyle w:val="13"/>
            </w:pPr>
            <w:r>
              <w:t>≥95单位房屋维护失效率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做好日常维护</w:t>
            </w:r>
          </w:p>
        </w:tc>
        <w:tc>
          <w:tcPr>
            <w:tcW w:w="2835" w:type="dxa"/>
            <w:vAlign w:val="center"/>
          </w:tcPr>
          <w:p>
            <w:pPr>
              <w:pStyle w:val="13"/>
            </w:pPr>
            <w:r>
              <w:t>做好日常维护</w:t>
            </w:r>
          </w:p>
        </w:tc>
        <w:tc>
          <w:tcPr>
            <w:tcW w:w="2551" w:type="dxa"/>
            <w:vAlign w:val="center"/>
          </w:tcPr>
          <w:p>
            <w:pPr>
              <w:pStyle w:val="13"/>
            </w:pPr>
            <w:r>
              <w:t>≥90做好日常维护</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维护单位办公楼促进检察业务从而对社会稳定影响情况</w:t>
            </w:r>
          </w:p>
        </w:tc>
        <w:tc>
          <w:tcPr>
            <w:tcW w:w="2835" w:type="dxa"/>
            <w:vAlign w:val="center"/>
          </w:tcPr>
          <w:p>
            <w:pPr>
              <w:pStyle w:val="13"/>
            </w:pPr>
            <w:r>
              <w:t>保障单位办公楼维护业务从而促进检察业务顺利开展</w:t>
            </w:r>
          </w:p>
        </w:tc>
        <w:tc>
          <w:tcPr>
            <w:tcW w:w="2551" w:type="dxa"/>
            <w:vAlign w:val="center"/>
          </w:tcPr>
          <w:p>
            <w:pPr>
              <w:pStyle w:val="13"/>
            </w:pPr>
            <w:r>
              <w:t>≥95保障单位办公楼维护业务从而促进检察业务顺利开展</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完成单位办公楼维护</w:t>
            </w:r>
          </w:p>
        </w:tc>
        <w:tc>
          <w:tcPr>
            <w:tcW w:w="2835" w:type="dxa"/>
            <w:vAlign w:val="center"/>
          </w:tcPr>
          <w:p>
            <w:pPr>
              <w:pStyle w:val="13"/>
            </w:pPr>
            <w:r>
              <w:t>完成单位办公楼维护为检察业务提供保障推动社会发展</w:t>
            </w:r>
          </w:p>
          <w:p>
            <w:pPr>
              <w:pStyle w:val="13"/>
            </w:pPr>
          </w:p>
        </w:tc>
        <w:tc>
          <w:tcPr>
            <w:tcW w:w="2551" w:type="dxa"/>
            <w:vAlign w:val="center"/>
          </w:tcPr>
          <w:p>
            <w:pPr>
              <w:pStyle w:val="13"/>
            </w:pPr>
            <w:r>
              <w:t>≥90完成单位办公楼维护为检察业务提供保障推动社会发展</w:t>
            </w:r>
          </w:p>
          <w:p>
            <w:pPr>
              <w:pStyle w:val="13"/>
            </w:pP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≥90调查中用户反馈满意和较满意的数量占调查用户总数量的比率&gt;=95%</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单位劳务派遣人员工资绩效目标表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1.目标内容1充分保障单位劳务派遣人员工资待遇。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人员经费执行率</w:t>
            </w:r>
          </w:p>
        </w:tc>
        <w:tc>
          <w:tcPr>
            <w:tcW w:w="2835" w:type="dxa"/>
            <w:vAlign w:val="center"/>
          </w:tcPr>
          <w:p>
            <w:pPr>
              <w:pStyle w:val="13"/>
            </w:pPr>
            <w:r>
              <w:t>单位人员经费执行度情况</w:t>
            </w:r>
          </w:p>
        </w:tc>
        <w:tc>
          <w:tcPr>
            <w:tcW w:w="2551" w:type="dxa"/>
            <w:vAlign w:val="center"/>
          </w:tcPr>
          <w:p>
            <w:pPr>
              <w:pStyle w:val="13"/>
            </w:pPr>
            <w:r>
              <w:t>100单位劳务派遣人员经费执行情况要达到百分百</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聘用人员数量</w:t>
            </w:r>
          </w:p>
        </w:tc>
        <w:tc>
          <w:tcPr>
            <w:tcW w:w="2835" w:type="dxa"/>
            <w:vAlign w:val="center"/>
          </w:tcPr>
          <w:p>
            <w:pPr>
              <w:pStyle w:val="13"/>
            </w:pPr>
            <w:r>
              <w:t>聘用人员数量</w:t>
            </w:r>
          </w:p>
        </w:tc>
        <w:tc>
          <w:tcPr>
            <w:tcW w:w="2551" w:type="dxa"/>
            <w:vAlign w:val="center"/>
          </w:tcPr>
          <w:p>
            <w:pPr>
              <w:pStyle w:val="13"/>
            </w:pPr>
            <w:r>
              <w:t>100单位聘用人员数量必须等于批准人员情况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人员工作支付及时性</w:t>
            </w:r>
          </w:p>
        </w:tc>
        <w:tc>
          <w:tcPr>
            <w:tcW w:w="2835" w:type="dxa"/>
            <w:vAlign w:val="center"/>
          </w:tcPr>
          <w:p>
            <w:pPr>
              <w:pStyle w:val="13"/>
            </w:pPr>
            <w:r>
              <w:t>按照合同约定及时支付为第三方公司人员工资费用</w:t>
            </w:r>
          </w:p>
        </w:tc>
        <w:tc>
          <w:tcPr>
            <w:tcW w:w="2551" w:type="dxa"/>
            <w:vAlign w:val="center"/>
          </w:tcPr>
          <w:p>
            <w:pPr>
              <w:pStyle w:val="13"/>
            </w:pPr>
            <w:r>
              <w:t>100单位支付劳务派遣公司的服务费必须按照合同要求及时</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支付聘用人员工资额</w:t>
            </w:r>
          </w:p>
        </w:tc>
        <w:tc>
          <w:tcPr>
            <w:tcW w:w="2835" w:type="dxa"/>
            <w:vAlign w:val="center"/>
          </w:tcPr>
          <w:p>
            <w:pPr>
              <w:pStyle w:val="13"/>
            </w:pPr>
            <w:r>
              <w:t>支付聘用人员工资额</w:t>
            </w:r>
          </w:p>
        </w:tc>
        <w:tc>
          <w:tcPr>
            <w:tcW w:w="2551" w:type="dxa"/>
            <w:vAlign w:val="center"/>
          </w:tcPr>
          <w:p>
            <w:pPr>
              <w:pStyle w:val="13"/>
            </w:pPr>
            <w:r>
              <w:t>100单位支付劳务派遣人员工资要等于预算批复资金数</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岗位配置率</w:t>
            </w:r>
          </w:p>
          <w:p>
            <w:pPr>
              <w:pStyle w:val="13"/>
            </w:pPr>
          </w:p>
        </w:tc>
        <w:tc>
          <w:tcPr>
            <w:tcW w:w="2835" w:type="dxa"/>
            <w:vAlign w:val="center"/>
          </w:tcPr>
          <w:p>
            <w:pPr>
              <w:pStyle w:val="13"/>
            </w:pPr>
            <w:r>
              <w:t>岗位配置率</w:t>
            </w:r>
          </w:p>
          <w:p>
            <w:pPr>
              <w:pStyle w:val="13"/>
            </w:pPr>
          </w:p>
          <w:p>
            <w:pPr>
              <w:pStyle w:val="13"/>
            </w:pPr>
          </w:p>
        </w:tc>
        <w:tc>
          <w:tcPr>
            <w:tcW w:w="2551" w:type="dxa"/>
            <w:vAlign w:val="center"/>
          </w:tcPr>
          <w:p>
            <w:pPr>
              <w:pStyle w:val="13"/>
            </w:pPr>
            <w:r>
              <w:t>≥85单位劳务派遣人员岗位配置率要高不可人员浪费</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提升人员素质</w:t>
            </w:r>
          </w:p>
        </w:tc>
        <w:tc>
          <w:tcPr>
            <w:tcW w:w="2835" w:type="dxa"/>
            <w:vAlign w:val="center"/>
          </w:tcPr>
          <w:p>
            <w:pPr>
              <w:pStyle w:val="13"/>
            </w:pPr>
            <w:r>
              <w:t>提升人员素质</w:t>
            </w:r>
          </w:p>
        </w:tc>
        <w:tc>
          <w:tcPr>
            <w:tcW w:w="2551" w:type="dxa"/>
            <w:vAlign w:val="center"/>
          </w:tcPr>
          <w:p>
            <w:pPr>
              <w:pStyle w:val="13"/>
            </w:pPr>
            <w:r>
              <w:t>≥90单位劳务派遣人员整体素质要高</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降低用能成本</w:t>
            </w:r>
          </w:p>
        </w:tc>
        <w:tc>
          <w:tcPr>
            <w:tcW w:w="2835" w:type="dxa"/>
            <w:vAlign w:val="center"/>
          </w:tcPr>
          <w:p>
            <w:pPr>
              <w:pStyle w:val="13"/>
            </w:pPr>
            <w:r>
              <w:t>降低用能成本</w:t>
            </w:r>
          </w:p>
        </w:tc>
        <w:tc>
          <w:tcPr>
            <w:tcW w:w="2551" w:type="dxa"/>
            <w:vAlign w:val="center"/>
          </w:tcPr>
          <w:p>
            <w:pPr>
              <w:pStyle w:val="13"/>
            </w:pPr>
            <w:r>
              <w:t>≤80单位劳务派遣人员用能成本率要降低</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≥85调查中用户反馈满意和较满意的数量占调查用户总数量的比率</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加班补贴绩效目标表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1.目标内容1充分保障检察人员待遇，确保加班补贴发放到位，从而有力推动检察业务的发展。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人员经费执行率</w:t>
            </w:r>
          </w:p>
        </w:tc>
        <w:tc>
          <w:tcPr>
            <w:tcW w:w="2835" w:type="dxa"/>
            <w:vAlign w:val="center"/>
          </w:tcPr>
          <w:p>
            <w:pPr>
              <w:pStyle w:val="13"/>
            </w:pPr>
            <w:r>
              <w:t>单位加班补贴经费执行度情况</w:t>
            </w:r>
          </w:p>
        </w:tc>
        <w:tc>
          <w:tcPr>
            <w:tcW w:w="2551" w:type="dxa"/>
            <w:vAlign w:val="center"/>
          </w:tcPr>
          <w:p>
            <w:pPr>
              <w:pStyle w:val="13"/>
            </w:pPr>
            <w:r>
              <w:t>100单位加班补贴经费执行度情况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全年加班人次</w:t>
            </w:r>
          </w:p>
        </w:tc>
        <w:tc>
          <w:tcPr>
            <w:tcW w:w="2835" w:type="dxa"/>
            <w:vAlign w:val="center"/>
          </w:tcPr>
          <w:p>
            <w:pPr>
              <w:pStyle w:val="13"/>
            </w:pPr>
            <w:r>
              <w:t>单位全年加班人次情况</w:t>
            </w:r>
          </w:p>
        </w:tc>
        <w:tc>
          <w:tcPr>
            <w:tcW w:w="2551" w:type="dxa"/>
            <w:vAlign w:val="center"/>
          </w:tcPr>
          <w:p>
            <w:pPr>
              <w:pStyle w:val="13"/>
            </w:pPr>
            <w:r>
              <w:t>≥95单位全年加班人次情况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2835" w:type="dxa"/>
            <w:vAlign w:val="center"/>
          </w:tcPr>
          <w:p>
            <w:pPr>
              <w:pStyle w:val="13"/>
            </w:pPr>
            <w:r>
              <w:t>加班补贴项目完成时效情况</w:t>
            </w:r>
          </w:p>
        </w:tc>
        <w:tc>
          <w:tcPr>
            <w:tcW w:w="2551" w:type="dxa"/>
            <w:vAlign w:val="center"/>
          </w:tcPr>
          <w:p>
            <w:pPr>
              <w:pStyle w:val="13"/>
            </w:pPr>
            <w:r>
              <w:t>≥95加班补贴项目完成时效情况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加班补贴项目总成本及人均标准</w:t>
            </w:r>
          </w:p>
        </w:tc>
        <w:tc>
          <w:tcPr>
            <w:tcW w:w="2835" w:type="dxa"/>
            <w:vAlign w:val="center"/>
          </w:tcPr>
          <w:p>
            <w:pPr>
              <w:pStyle w:val="13"/>
            </w:pPr>
            <w:r>
              <w:t>支付单位加班补贴标准不可超过预算批复</w:t>
            </w:r>
          </w:p>
        </w:tc>
        <w:tc>
          <w:tcPr>
            <w:tcW w:w="2551" w:type="dxa"/>
            <w:vAlign w:val="center"/>
          </w:tcPr>
          <w:p>
            <w:pPr>
              <w:pStyle w:val="13"/>
            </w:pPr>
            <w:r>
              <w:t>≤100支付单位加班补贴标准不可超过预算批复</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激发检察人员工作积极性提高办案效率稳定社会治安</w:t>
            </w:r>
          </w:p>
        </w:tc>
        <w:tc>
          <w:tcPr>
            <w:tcW w:w="2835" w:type="dxa"/>
            <w:vAlign w:val="center"/>
          </w:tcPr>
          <w:p>
            <w:pPr>
              <w:pStyle w:val="13"/>
            </w:pPr>
            <w:r>
              <w:t>激发检察人员工作积极性提高办案效率稳定社会治安</w:t>
            </w:r>
          </w:p>
        </w:tc>
        <w:tc>
          <w:tcPr>
            <w:tcW w:w="2551" w:type="dxa"/>
            <w:vAlign w:val="center"/>
          </w:tcPr>
          <w:p>
            <w:pPr>
              <w:pStyle w:val="13"/>
            </w:pPr>
            <w:r>
              <w:t>≥85激发检察人员工作积极性提高办案效率稳定社会治安</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提高检察人员待遇对社会稳定效果持续度</w:t>
            </w:r>
          </w:p>
        </w:tc>
        <w:tc>
          <w:tcPr>
            <w:tcW w:w="2835" w:type="dxa"/>
            <w:vAlign w:val="center"/>
          </w:tcPr>
          <w:p>
            <w:pPr>
              <w:pStyle w:val="13"/>
            </w:pPr>
            <w:r>
              <w:t>提高检察人员待遇对社会稳定效果持续度</w:t>
            </w:r>
          </w:p>
        </w:tc>
        <w:tc>
          <w:tcPr>
            <w:tcW w:w="2551" w:type="dxa"/>
            <w:vAlign w:val="center"/>
          </w:tcPr>
          <w:p>
            <w:pPr>
              <w:pStyle w:val="13"/>
            </w:pPr>
            <w:r>
              <w:t>≥90提高检察人员待遇对社会稳定效果持续度</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检察人员待遇提高带动经济效益率</w:t>
            </w:r>
          </w:p>
        </w:tc>
        <w:tc>
          <w:tcPr>
            <w:tcW w:w="2835" w:type="dxa"/>
            <w:vAlign w:val="center"/>
          </w:tcPr>
          <w:p>
            <w:pPr>
              <w:pStyle w:val="13"/>
            </w:pPr>
            <w:r>
              <w:t>检察人员待遇提高带动经济效益率</w:t>
            </w:r>
          </w:p>
        </w:tc>
        <w:tc>
          <w:tcPr>
            <w:tcW w:w="2551" w:type="dxa"/>
            <w:vAlign w:val="center"/>
          </w:tcPr>
          <w:p>
            <w:pPr>
              <w:pStyle w:val="13"/>
            </w:pPr>
            <w:r>
              <w:t>≥80检察人员待遇提高带动经济效益率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≥85调查中用户反馈满意和较满意的数量占调查用户总数量的比率</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检察宣传绩效目标表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1.目标内容1全面完成检察宣传任务，从而推动检察业务开展。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政法工作宣传展示覆盖率</w:t>
            </w:r>
          </w:p>
        </w:tc>
        <w:tc>
          <w:tcPr>
            <w:tcW w:w="2835" w:type="dxa"/>
            <w:vAlign w:val="center"/>
          </w:tcPr>
          <w:p>
            <w:pPr>
              <w:pStyle w:val="13"/>
            </w:pPr>
            <w:r>
              <w:t>政法工作宣传展示覆盖率</w:t>
            </w:r>
          </w:p>
        </w:tc>
        <w:tc>
          <w:tcPr>
            <w:tcW w:w="2551" w:type="dxa"/>
            <w:vAlign w:val="center"/>
          </w:tcPr>
          <w:p>
            <w:pPr>
              <w:pStyle w:val="13"/>
            </w:pPr>
            <w:r>
              <w:t>≥95政法工作宣传展示覆盖率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开展法制宣传次数</w:t>
            </w:r>
          </w:p>
        </w:tc>
        <w:tc>
          <w:tcPr>
            <w:tcW w:w="2835" w:type="dxa"/>
            <w:vAlign w:val="center"/>
          </w:tcPr>
          <w:p>
            <w:pPr>
              <w:pStyle w:val="13"/>
            </w:pPr>
            <w:r>
              <w:t>开展法制宣传次数</w:t>
            </w:r>
          </w:p>
        </w:tc>
        <w:tc>
          <w:tcPr>
            <w:tcW w:w="2551" w:type="dxa"/>
            <w:vAlign w:val="center"/>
          </w:tcPr>
          <w:p>
            <w:pPr>
              <w:pStyle w:val="13"/>
            </w:pPr>
            <w:r>
              <w:t>≥90开展法制宣传次数</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2835" w:type="dxa"/>
            <w:vAlign w:val="center"/>
          </w:tcPr>
          <w:p>
            <w:pPr>
              <w:pStyle w:val="13"/>
            </w:pPr>
            <w:r>
              <w:t>宣传、活动完成时间</w:t>
            </w:r>
          </w:p>
        </w:tc>
        <w:tc>
          <w:tcPr>
            <w:tcW w:w="2551" w:type="dxa"/>
            <w:vAlign w:val="center"/>
          </w:tcPr>
          <w:p>
            <w:pPr>
              <w:pStyle w:val="13"/>
            </w:pPr>
            <w:r>
              <w:t>≥85宣传、活动完成时间</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开展平安建设宣传</w:t>
            </w:r>
          </w:p>
        </w:tc>
        <w:tc>
          <w:tcPr>
            <w:tcW w:w="2835" w:type="dxa"/>
            <w:vAlign w:val="center"/>
          </w:tcPr>
          <w:p>
            <w:pPr>
              <w:pStyle w:val="13"/>
            </w:pPr>
            <w:r>
              <w:t>开展平安建设宣传</w:t>
            </w:r>
          </w:p>
        </w:tc>
        <w:tc>
          <w:tcPr>
            <w:tcW w:w="2551" w:type="dxa"/>
            <w:vAlign w:val="center"/>
          </w:tcPr>
          <w:p>
            <w:pPr>
              <w:pStyle w:val="13"/>
            </w:pPr>
            <w:r>
              <w:t>≥70开展平安建设宣传</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单位宣传组织活动影响持续力度情况</w:t>
            </w:r>
          </w:p>
        </w:tc>
        <w:tc>
          <w:tcPr>
            <w:tcW w:w="2835" w:type="dxa"/>
            <w:vAlign w:val="center"/>
          </w:tcPr>
          <w:p>
            <w:pPr>
              <w:pStyle w:val="13"/>
            </w:pPr>
            <w:r>
              <w:t>单位宣传组织活动影响持续力度情况</w:t>
            </w:r>
          </w:p>
        </w:tc>
        <w:tc>
          <w:tcPr>
            <w:tcW w:w="2551" w:type="dxa"/>
            <w:vAlign w:val="center"/>
          </w:tcPr>
          <w:p>
            <w:pPr>
              <w:pStyle w:val="13"/>
            </w:pPr>
            <w:r>
              <w:t>≥90单位宣传组织活动影响持续力度情况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通过宣传组织带动经济影响率</w:t>
            </w:r>
          </w:p>
        </w:tc>
        <w:tc>
          <w:tcPr>
            <w:tcW w:w="2835" w:type="dxa"/>
            <w:vAlign w:val="center"/>
          </w:tcPr>
          <w:p>
            <w:pPr>
              <w:pStyle w:val="13"/>
            </w:pPr>
            <w:r>
              <w:t>通过宣传组织带动经济影响情况</w:t>
            </w:r>
          </w:p>
        </w:tc>
        <w:tc>
          <w:tcPr>
            <w:tcW w:w="2551" w:type="dxa"/>
            <w:vAlign w:val="center"/>
          </w:tcPr>
          <w:p>
            <w:pPr>
              <w:pStyle w:val="13"/>
            </w:pPr>
            <w:r>
              <w:t>≥80通过宣传组织带动经济影响情况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政法宣传力度</w:t>
            </w:r>
          </w:p>
        </w:tc>
        <w:tc>
          <w:tcPr>
            <w:tcW w:w="2835" w:type="dxa"/>
            <w:vAlign w:val="center"/>
          </w:tcPr>
          <w:p>
            <w:pPr>
              <w:pStyle w:val="13"/>
            </w:pPr>
            <w:r>
              <w:t>政法宣传力度</w:t>
            </w:r>
          </w:p>
        </w:tc>
        <w:tc>
          <w:tcPr>
            <w:tcW w:w="2551" w:type="dxa"/>
            <w:vAlign w:val="center"/>
          </w:tcPr>
          <w:p>
            <w:pPr>
              <w:pStyle w:val="13"/>
            </w:pPr>
            <w:r>
              <w:t>≥90单位政法宣传力度</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检察专网密码设备绩效目标表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1.全面完成检察专网密码设备任务，为检察业务开展提供强而有力保障。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设备、设施验收通过率（%）</w:t>
            </w:r>
          </w:p>
        </w:tc>
        <w:tc>
          <w:tcPr>
            <w:tcW w:w="2835" w:type="dxa"/>
            <w:vAlign w:val="center"/>
          </w:tcPr>
          <w:p>
            <w:pPr>
              <w:pStyle w:val="13"/>
            </w:pPr>
            <w:r>
              <w:t>设备、设施验收通过率（%）</w:t>
            </w:r>
          </w:p>
        </w:tc>
        <w:tc>
          <w:tcPr>
            <w:tcW w:w="2551" w:type="dxa"/>
            <w:vAlign w:val="center"/>
          </w:tcPr>
          <w:p>
            <w:pPr>
              <w:pStyle w:val="13"/>
            </w:pPr>
            <w:r>
              <w:t>100设备、设施验收通过率（%）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新增专业设备</w:t>
            </w:r>
          </w:p>
        </w:tc>
        <w:tc>
          <w:tcPr>
            <w:tcW w:w="2835" w:type="dxa"/>
            <w:vAlign w:val="center"/>
          </w:tcPr>
          <w:p>
            <w:pPr>
              <w:pStyle w:val="13"/>
            </w:pPr>
            <w:r>
              <w:t>新增专业设备</w:t>
            </w:r>
          </w:p>
        </w:tc>
        <w:tc>
          <w:tcPr>
            <w:tcW w:w="2551" w:type="dxa"/>
            <w:vAlign w:val="center"/>
          </w:tcPr>
          <w:p>
            <w:pPr>
              <w:pStyle w:val="13"/>
            </w:pPr>
            <w:r>
              <w:t>2新增专业设备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专用设备购置完成时间</w:t>
            </w:r>
          </w:p>
        </w:tc>
        <w:tc>
          <w:tcPr>
            <w:tcW w:w="2835" w:type="dxa"/>
            <w:vAlign w:val="center"/>
          </w:tcPr>
          <w:p>
            <w:pPr>
              <w:pStyle w:val="13"/>
            </w:pPr>
            <w:r>
              <w:t>专用设备购置完成时间</w:t>
            </w:r>
          </w:p>
        </w:tc>
        <w:tc>
          <w:tcPr>
            <w:tcW w:w="2551" w:type="dxa"/>
            <w:vAlign w:val="center"/>
          </w:tcPr>
          <w:p>
            <w:pPr>
              <w:pStyle w:val="13"/>
            </w:pPr>
            <w:r>
              <w:t>≥95专用设备购置完成时间</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2835" w:type="dxa"/>
            <w:vAlign w:val="center"/>
          </w:tcPr>
          <w:p>
            <w:pPr>
              <w:pStyle w:val="13"/>
            </w:pPr>
            <w:r>
              <w:t>设备购置成本</w:t>
            </w:r>
          </w:p>
        </w:tc>
        <w:tc>
          <w:tcPr>
            <w:tcW w:w="2551" w:type="dxa"/>
            <w:vAlign w:val="center"/>
          </w:tcPr>
          <w:p>
            <w:pPr>
              <w:pStyle w:val="13"/>
            </w:pPr>
            <w:r>
              <w:t>≤20设备购置成本</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设备运行良好</w:t>
            </w:r>
          </w:p>
        </w:tc>
        <w:tc>
          <w:tcPr>
            <w:tcW w:w="2835" w:type="dxa"/>
            <w:vAlign w:val="center"/>
          </w:tcPr>
          <w:p>
            <w:pPr>
              <w:pStyle w:val="13"/>
            </w:pPr>
            <w:r>
              <w:t>设备运行良好</w:t>
            </w:r>
          </w:p>
        </w:tc>
        <w:tc>
          <w:tcPr>
            <w:tcW w:w="2551" w:type="dxa"/>
            <w:vAlign w:val="center"/>
          </w:tcPr>
          <w:p>
            <w:pPr>
              <w:pStyle w:val="13"/>
            </w:pPr>
            <w:r>
              <w:t>≤2设备运行良好</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设备购置类项目持续使用时间（年</w:t>
            </w:r>
          </w:p>
        </w:tc>
        <w:tc>
          <w:tcPr>
            <w:tcW w:w="2835" w:type="dxa"/>
            <w:vAlign w:val="center"/>
          </w:tcPr>
          <w:p>
            <w:pPr>
              <w:pStyle w:val="13"/>
            </w:pPr>
            <w:r>
              <w:t>设备购置类项目持续使用时间（年）</w:t>
            </w:r>
          </w:p>
        </w:tc>
        <w:tc>
          <w:tcPr>
            <w:tcW w:w="2551" w:type="dxa"/>
            <w:vAlign w:val="center"/>
          </w:tcPr>
          <w:p>
            <w:pPr>
              <w:pStyle w:val="13"/>
            </w:pPr>
            <w:r>
              <w:t>≤2设备购置类项目持续使用时间（年）</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设备使用率（%）</w:t>
            </w:r>
          </w:p>
        </w:tc>
        <w:tc>
          <w:tcPr>
            <w:tcW w:w="2835" w:type="dxa"/>
            <w:vAlign w:val="center"/>
          </w:tcPr>
          <w:p>
            <w:pPr>
              <w:pStyle w:val="13"/>
            </w:pPr>
            <w:r>
              <w:t>设备使用率（%）</w:t>
            </w:r>
          </w:p>
        </w:tc>
        <w:tc>
          <w:tcPr>
            <w:tcW w:w="2551" w:type="dxa"/>
            <w:vAlign w:val="center"/>
          </w:tcPr>
          <w:p>
            <w:pPr>
              <w:pStyle w:val="13"/>
            </w:pPr>
            <w:r>
              <w:t>≥95设备使用率（%）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≥95调查中用户反馈满意和较满意的数量占调查用户总数量的比率</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提前下达2022年省级基层公检法司转移支付资金（冀财政法【2021】63号）绩效目标表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1.全面完成转移支付资金任务，为检察业务开展提供有力保障。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各项综合业务管理工作完成率</w:t>
            </w:r>
          </w:p>
        </w:tc>
        <w:tc>
          <w:tcPr>
            <w:tcW w:w="2835" w:type="dxa"/>
            <w:vAlign w:val="center"/>
          </w:tcPr>
          <w:p>
            <w:pPr>
              <w:pStyle w:val="13"/>
            </w:pPr>
            <w:r>
              <w:t>综合业务工作任务完成情况占综合业务工作任务的比例</w:t>
            </w:r>
          </w:p>
        </w:tc>
        <w:tc>
          <w:tcPr>
            <w:tcW w:w="2551" w:type="dxa"/>
            <w:vAlign w:val="center"/>
          </w:tcPr>
          <w:p>
            <w:pPr>
              <w:pStyle w:val="13"/>
            </w:pPr>
            <w:r>
              <w:t>≥95综合业务工作任务完成情况占综合业务工作任务的比例&gt;=95%</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案件办结率(%)</w:t>
            </w:r>
          </w:p>
        </w:tc>
        <w:tc>
          <w:tcPr>
            <w:tcW w:w="2835" w:type="dxa"/>
            <w:vAlign w:val="center"/>
          </w:tcPr>
          <w:p>
            <w:pPr>
              <w:pStyle w:val="13"/>
            </w:pPr>
            <w:r>
              <w:t>办结案件数量占立案案件总数的比率</w:t>
            </w:r>
          </w:p>
        </w:tc>
        <w:tc>
          <w:tcPr>
            <w:tcW w:w="2551" w:type="dxa"/>
            <w:vAlign w:val="center"/>
          </w:tcPr>
          <w:p>
            <w:pPr>
              <w:pStyle w:val="13"/>
            </w:pPr>
            <w:r>
              <w:t>≥95办结案件数量占立案案件总数的比率&gt;=95%</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审限结案率(%)</w:t>
            </w:r>
          </w:p>
        </w:tc>
        <w:tc>
          <w:tcPr>
            <w:tcW w:w="2835" w:type="dxa"/>
            <w:vAlign w:val="center"/>
          </w:tcPr>
          <w:p>
            <w:pPr>
              <w:pStyle w:val="13"/>
            </w:pPr>
            <w:r>
              <w:t>法定审限内结案数占结案总数的比率</w:t>
            </w:r>
          </w:p>
        </w:tc>
        <w:tc>
          <w:tcPr>
            <w:tcW w:w="2551" w:type="dxa"/>
            <w:vAlign w:val="center"/>
          </w:tcPr>
          <w:p>
            <w:pPr>
              <w:pStyle w:val="13"/>
            </w:pPr>
            <w:r>
              <w:t>≥95法定审限内结案数占结案总数的比率&gt;=95%</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错案率(%)</w:t>
            </w:r>
          </w:p>
        </w:tc>
        <w:tc>
          <w:tcPr>
            <w:tcW w:w="2835" w:type="dxa"/>
            <w:vAlign w:val="center"/>
          </w:tcPr>
          <w:p>
            <w:pPr>
              <w:pStyle w:val="13"/>
            </w:pPr>
            <w:r>
              <w:t>错案数占受理案件数的比率(反向指标)</w:t>
            </w:r>
          </w:p>
        </w:tc>
        <w:tc>
          <w:tcPr>
            <w:tcW w:w="2551" w:type="dxa"/>
            <w:vAlign w:val="center"/>
          </w:tcPr>
          <w:p>
            <w:pPr>
              <w:pStyle w:val="13"/>
            </w:pPr>
            <w:r>
              <w:t>≤2错案数占受理案件数的比率(反向指标)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执法办案行为投诉率(%)</w:t>
            </w:r>
          </w:p>
        </w:tc>
        <w:tc>
          <w:tcPr>
            <w:tcW w:w="2835" w:type="dxa"/>
            <w:vAlign w:val="center"/>
          </w:tcPr>
          <w:p>
            <w:pPr>
              <w:pStyle w:val="13"/>
            </w:pPr>
            <w:r>
              <w:t>被投诉的执法办案行为次数占执法办案总数的比率</w:t>
            </w:r>
          </w:p>
        </w:tc>
        <w:tc>
          <w:tcPr>
            <w:tcW w:w="2551" w:type="dxa"/>
            <w:vAlign w:val="center"/>
          </w:tcPr>
          <w:p>
            <w:pPr>
              <w:pStyle w:val="13"/>
            </w:pPr>
            <w:r>
              <w:t>≤2被投诉的执法办案行为次数占执法办案总数的比率&lt;=2%</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≥95调查中用户反馈满意和较满意的数量占调查用户总数量的比率&gt;=95%</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提前下达2022年省级基层公检法司转移支付资金（冀财政法【2021】63号）绩效目标表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1.全面完成转移支付资金任务，为检察业务开展 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购置设备合格率</w:t>
            </w:r>
          </w:p>
        </w:tc>
        <w:tc>
          <w:tcPr>
            <w:tcW w:w="2835" w:type="dxa"/>
            <w:vAlign w:val="center"/>
          </w:tcPr>
          <w:p>
            <w:pPr>
              <w:pStyle w:val="13"/>
            </w:pPr>
            <w:r>
              <w:t>购置设备合格率</w:t>
            </w:r>
          </w:p>
        </w:tc>
        <w:tc>
          <w:tcPr>
            <w:tcW w:w="2551" w:type="dxa"/>
            <w:vAlign w:val="center"/>
          </w:tcPr>
          <w:p>
            <w:pPr>
              <w:pStyle w:val="13"/>
            </w:pPr>
            <w:r>
              <w:t>100购置设备合格率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设备采购数量</w:t>
            </w:r>
          </w:p>
        </w:tc>
        <w:tc>
          <w:tcPr>
            <w:tcW w:w="2835" w:type="dxa"/>
            <w:vAlign w:val="center"/>
          </w:tcPr>
          <w:p>
            <w:pPr>
              <w:pStyle w:val="13"/>
            </w:pPr>
            <w:r>
              <w:t>设备采购数量</w:t>
            </w:r>
          </w:p>
        </w:tc>
        <w:tc>
          <w:tcPr>
            <w:tcW w:w="2551" w:type="dxa"/>
            <w:vAlign w:val="center"/>
          </w:tcPr>
          <w:p>
            <w:pPr>
              <w:pStyle w:val="13"/>
            </w:pPr>
            <w:r>
              <w:t>≤100设备采购数量</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按时完成设备招标采购</w:t>
            </w:r>
          </w:p>
        </w:tc>
        <w:tc>
          <w:tcPr>
            <w:tcW w:w="2835" w:type="dxa"/>
            <w:vAlign w:val="center"/>
          </w:tcPr>
          <w:p>
            <w:pPr>
              <w:pStyle w:val="13"/>
            </w:pPr>
            <w:r>
              <w:t>按时完成设备招标采购</w:t>
            </w:r>
          </w:p>
        </w:tc>
        <w:tc>
          <w:tcPr>
            <w:tcW w:w="2551" w:type="dxa"/>
            <w:vAlign w:val="center"/>
          </w:tcPr>
          <w:p>
            <w:pPr>
              <w:pStyle w:val="13"/>
            </w:pPr>
            <w:r>
              <w:t>≥95按时完成设备招标采购</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2835" w:type="dxa"/>
            <w:vAlign w:val="center"/>
          </w:tcPr>
          <w:p>
            <w:pPr>
              <w:pStyle w:val="13"/>
            </w:pPr>
            <w:r>
              <w:t>设备购置成本</w:t>
            </w:r>
          </w:p>
        </w:tc>
        <w:tc>
          <w:tcPr>
            <w:tcW w:w="2551" w:type="dxa"/>
            <w:vAlign w:val="center"/>
          </w:tcPr>
          <w:p>
            <w:pPr>
              <w:pStyle w:val="13"/>
            </w:pPr>
            <w:r>
              <w:t>≤18设备购置成本</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通用设备运行 (或应用软件)的</w:t>
            </w:r>
          </w:p>
        </w:tc>
        <w:tc>
          <w:tcPr>
            <w:tcW w:w="2835" w:type="dxa"/>
            <w:vAlign w:val="center"/>
          </w:tcPr>
          <w:p>
            <w:pPr>
              <w:pStyle w:val="13"/>
            </w:pPr>
            <w:r>
              <w:t>通用设备运行 (或应用软件)的满意率</w:t>
            </w:r>
          </w:p>
        </w:tc>
        <w:tc>
          <w:tcPr>
            <w:tcW w:w="2551" w:type="dxa"/>
            <w:vAlign w:val="center"/>
          </w:tcPr>
          <w:p>
            <w:pPr>
              <w:pStyle w:val="13"/>
            </w:pPr>
            <w:r>
              <w:t>≥95通用设备运行 (或应用软件)的满意率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设备购置类项目持续使用时间（年</w:t>
            </w:r>
          </w:p>
        </w:tc>
        <w:tc>
          <w:tcPr>
            <w:tcW w:w="2835" w:type="dxa"/>
            <w:vAlign w:val="center"/>
          </w:tcPr>
          <w:p>
            <w:pPr>
              <w:pStyle w:val="13"/>
            </w:pPr>
            <w:r>
              <w:t>设备购置类项目持续使用时间（年）</w:t>
            </w:r>
          </w:p>
        </w:tc>
        <w:tc>
          <w:tcPr>
            <w:tcW w:w="2551" w:type="dxa"/>
            <w:vAlign w:val="center"/>
          </w:tcPr>
          <w:p>
            <w:pPr>
              <w:pStyle w:val="13"/>
            </w:pPr>
            <w:r>
              <w:t>≥95设备购置类项目持续使用时间（年）</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设备使用率（%）</w:t>
            </w:r>
          </w:p>
        </w:tc>
        <w:tc>
          <w:tcPr>
            <w:tcW w:w="2835" w:type="dxa"/>
            <w:vAlign w:val="center"/>
          </w:tcPr>
          <w:p>
            <w:pPr>
              <w:pStyle w:val="13"/>
            </w:pPr>
            <w:r>
              <w:t>设备使用率（%）</w:t>
            </w:r>
          </w:p>
        </w:tc>
        <w:tc>
          <w:tcPr>
            <w:tcW w:w="2551" w:type="dxa"/>
            <w:vAlign w:val="center"/>
          </w:tcPr>
          <w:p>
            <w:pPr>
              <w:pStyle w:val="13"/>
            </w:pPr>
            <w:r>
              <w:t>≥90设备使用率（%）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通用设备运行或应用软件的满意率</w:t>
            </w:r>
          </w:p>
        </w:tc>
        <w:tc>
          <w:tcPr>
            <w:tcW w:w="2835" w:type="dxa"/>
            <w:vAlign w:val="center"/>
          </w:tcPr>
          <w:p>
            <w:pPr>
              <w:pStyle w:val="13"/>
            </w:pPr>
            <w:r>
              <w:t>服务申请单中满意的数量占服务申请单总数量的比率</w:t>
            </w:r>
          </w:p>
        </w:tc>
        <w:tc>
          <w:tcPr>
            <w:tcW w:w="2551" w:type="dxa"/>
            <w:vAlign w:val="center"/>
          </w:tcPr>
          <w:p>
            <w:pPr>
              <w:pStyle w:val="13"/>
            </w:pPr>
            <w:r>
              <w:t>≥95服务申请单中满意的数量占服务申请单总数量的比率</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提前下达2022年中央政法纪检监察转移支付资金（冀财政法【2021】62号）绩效目标表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1.全面完成转移支付资金任务，为检察业务开展提供有力支持。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各项综合业务管理工作完成率</w:t>
            </w:r>
          </w:p>
        </w:tc>
        <w:tc>
          <w:tcPr>
            <w:tcW w:w="2835" w:type="dxa"/>
            <w:vAlign w:val="center"/>
          </w:tcPr>
          <w:p>
            <w:pPr>
              <w:pStyle w:val="13"/>
            </w:pPr>
            <w:r>
              <w:t>综合业务工作任务完成情况占综合业务工作任务的比例</w:t>
            </w:r>
          </w:p>
        </w:tc>
        <w:tc>
          <w:tcPr>
            <w:tcW w:w="2551" w:type="dxa"/>
            <w:vAlign w:val="center"/>
          </w:tcPr>
          <w:p>
            <w:pPr>
              <w:pStyle w:val="13"/>
            </w:pPr>
            <w:r>
              <w:t>≥95综合业务工作任务完成情况占综合业务工作任务的比例&gt;=95%</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案件办结率(%)</w:t>
            </w:r>
          </w:p>
        </w:tc>
        <w:tc>
          <w:tcPr>
            <w:tcW w:w="2835" w:type="dxa"/>
            <w:vAlign w:val="center"/>
          </w:tcPr>
          <w:p>
            <w:pPr>
              <w:pStyle w:val="13"/>
            </w:pPr>
            <w:r>
              <w:t>办结案件数量占立案案件总数的比率</w:t>
            </w:r>
          </w:p>
        </w:tc>
        <w:tc>
          <w:tcPr>
            <w:tcW w:w="2551" w:type="dxa"/>
            <w:vAlign w:val="center"/>
          </w:tcPr>
          <w:p>
            <w:pPr>
              <w:pStyle w:val="13"/>
            </w:pPr>
            <w:r>
              <w:t>≥95办结案件数量占立案案件总数的比率&gt;=95%</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审限结案率(%)</w:t>
            </w:r>
          </w:p>
        </w:tc>
        <w:tc>
          <w:tcPr>
            <w:tcW w:w="2835" w:type="dxa"/>
            <w:vAlign w:val="center"/>
          </w:tcPr>
          <w:p>
            <w:pPr>
              <w:pStyle w:val="13"/>
            </w:pPr>
            <w:r>
              <w:t>法定审限内结案数占结案总数的比率</w:t>
            </w:r>
          </w:p>
        </w:tc>
        <w:tc>
          <w:tcPr>
            <w:tcW w:w="2551" w:type="dxa"/>
            <w:vAlign w:val="center"/>
          </w:tcPr>
          <w:p>
            <w:pPr>
              <w:pStyle w:val="13"/>
            </w:pPr>
            <w:r>
              <w:t>≥95法定审限内结案数占结案总数的比率&gt;=95%</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错案率(%)</w:t>
            </w:r>
          </w:p>
        </w:tc>
        <w:tc>
          <w:tcPr>
            <w:tcW w:w="2835" w:type="dxa"/>
            <w:vAlign w:val="center"/>
          </w:tcPr>
          <w:p>
            <w:pPr>
              <w:pStyle w:val="13"/>
            </w:pPr>
            <w:r>
              <w:t>错案数占受理案件数的比率(反向指标)</w:t>
            </w:r>
          </w:p>
        </w:tc>
        <w:tc>
          <w:tcPr>
            <w:tcW w:w="2551" w:type="dxa"/>
            <w:vAlign w:val="center"/>
          </w:tcPr>
          <w:p>
            <w:pPr>
              <w:pStyle w:val="13"/>
            </w:pPr>
            <w:r>
              <w:t>≤2错案数占受理案件数的比率(反向指标)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执法办案行为投诉率(%)</w:t>
            </w:r>
          </w:p>
        </w:tc>
        <w:tc>
          <w:tcPr>
            <w:tcW w:w="2835" w:type="dxa"/>
            <w:vAlign w:val="center"/>
          </w:tcPr>
          <w:p>
            <w:pPr>
              <w:pStyle w:val="13"/>
            </w:pPr>
            <w:r>
              <w:t>被投诉的执法办案行为次数占执法办案总数的比率</w:t>
            </w:r>
          </w:p>
        </w:tc>
        <w:tc>
          <w:tcPr>
            <w:tcW w:w="2551" w:type="dxa"/>
            <w:vAlign w:val="center"/>
          </w:tcPr>
          <w:p>
            <w:pPr>
              <w:pStyle w:val="13"/>
            </w:pPr>
            <w:r>
              <w:t>≤2被投诉的执法办案行为次数占执法办案总数的比率&lt;=2%</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≥95调查中用户反馈满意和较满意的数量占调查用户总数量的比率&gt;=95%</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提前下达2022年中央政法纪检监察转移支付资金（冀财政法【2021】62号）绩效目标表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1.全面完成转移支付资金任务为开展检察业务提供保障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购置设备合格率</w:t>
            </w:r>
          </w:p>
        </w:tc>
        <w:tc>
          <w:tcPr>
            <w:tcW w:w="2835" w:type="dxa"/>
            <w:vAlign w:val="center"/>
          </w:tcPr>
          <w:p>
            <w:pPr>
              <w:pStyle w:val="13"/>
            </w:pPr>
            <w:r>
              <w:t>购置设备合格率</w:t>
            </w:r>
          </w:p>
        </w:tc>
        <w:tc>
          <w:tcPr>
            <w:tcW w:w="2551" w:type="dxa"/>
            <w:vAlign w:val="center"/>
          </w:tcPr>
          <w:p>
            <w:pPr>
              <w:pStyle w:val="13"/>
            </w:pPr>
            <w:r>
              <w:t>≥100购置设备合格率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设备采购数量</w:t>
            </w:r>
          </w:p>
        </w:tc>
        <w:tc>
          <w:tcPr>
            <w:tcW w:w="2835" w:type="dxa"/>
            <w:vAlign w:val="center"/>
          </w:tcPr>
          <w:p>
            <w:pPr>
              <w:pStyle w:val="13"/>
            </w:pPr>
            <w:r>
              <w:t>设备采购数量</w:t>
            </w:r>
          </w:p>
        </w:tc>
        <w:tc>
          <w:tcPr>
            <w:tcW w:w="2551" w:type="dxa"/>
            <w:vAlign w:val="center"/>
          </w:tcPr>
          <w:p>
            <w:pPr>
              <w:pStyle w:val="13"/>
            </w:pPr>
            <w:r>
              <w:t>≤100设备采购数量</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按时完成设备招标采购</w:t>
            </w:r>
          </w:p>
        </w:tc>
        <w:tc>
          <w:tcPr>
            <w:tcW w:w="2835" w:type="dxa"/>
            <w:vAlign w:val="center"/>
          </w:tcPr>
          <w:p>
            <w:pPr>
              <w:pStyle w:val="13"/>
            </w:pPr>
            <w:r>
              <w:t>按时完成设备招标采购</w:t>
            </w:r>
          </w:p>
        </w:tc>
        <w:tc>
          <w:tcPr>
            <w:tcW w:w="2551" w:type="dxa"/>
            <w:vAlign w:val="center"/>
          </w:tcPr>
          <w:p>
            <w:pPr>
              <w:pStyle w:val="13"/>
            </w:pPr>
            <w:r>
              <w:t>≥95按时完成设备招标采购</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2835" w:type="dxa"/>
            <w:vAlign w:val="center"/>
          </w:tcPr>
          <w:p>
            <w:pPr>
              <w:pStyle w:val="13"/>
            </w:pPr>
            <w:r>
              <w:t>设备购置成本</w:t>
            </w:r>
          </w:p>
        </w:tc>
        <w:tc>
          <w:tcPr>
            <w:tcW w:w="2551" w:type="dxa"/>
            <w:vAlign w:val="center"/>
          </w:tcPr>
          <w:p>
            <w:pPr>
              <w:pStyle w:val="13"/>
            </w:pPr>
            <w:r>
              <w:t>≤18设备购置成本</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通用设备运行 (或应用软件)的</w:t>
            </w:r>
          </w:p>
        </w:tc>
        <w:tc>
          <w:tcPr>
            <w:tcW w:w="2835" w:type="dxa"/>
            <w:vAlign w:val="center"/>
          </w:tcPr>
          <w:p>
            <w:pPr>
              <w:pStyle w:val="13"/>
            </w:pPr>
            <w:r>
              <w:t>通用设备运行 (或应用软件)的满意率</w:t>
            </w:r>
          </w:p>
        </w:tc>
        <w:tc>
          <w:tcPr>
            <w:tcW w:w="2551" w:type="dxa"/>
            <w:vAlign w:val="center"/>
          </w:tcPr>
          <w:p>
            <w:pPr>
              <w:pStyle w:val="13"/>
            </w:pPr>
            <w:r>
              <w:t>≥95通用设备运行 (或应用软件)的满意率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设备购置类项目持续使用时间（年</w:t>
            </w:r>
          </w:p>
        </w:tc>
        <w:tc>
          <w:tcPr>
            <w:tcW w:w="2835" w:type="dxa"/>
            <w:vAlign w:val="center"/>
          </w:tcPr>
          <w:p>
            <w:pPr>
              <w:pStyle w:val="13"/>
            </w:pPr>
            <w:r>
              <w:t>设备购置类项目持续使用时间（年）</w:t>
            </w:r>
          </w:p>
        </w:tc>
        <w:tc>
          <w:tcPr>
            <w:tcW w:w="2551" w:type="dxa"/>
            <w:vAlign w:val="center"/>
          </w:tcPr>
          <w:p>
            <w:pPr>
              <w:pStyle w:val="13"/>
            </w:pPr>
            <w:r>
              <w:t>≥95设备购置类项目持续使用时间（年）</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设备使用率（%）</w:t>
            </w:r>
          </w:p>
        </w:tc>
        <w:tc>
          <w:tcPr>
            <w:tcW w:w="2835" w:type="dxa"/>
            <w:vAlign w:val="center"/>
          </w:tcPr>
          <w:p>
            <w:pPr>
              <w:pStyle w:val="13"/>
            </w:pPr>
            <w:r>
              <w:t>设备使用率（%）</w:t>
            </w:r>
          </w:p>
        </w:tc>
        <w:tc>
          <w:tcPr>
            <w:tcW w:w="2551" w:type="dxa"/>
            <w:vAlign w:val="center"/>
          </w:tcPr>
          <w:p>
            <w:pPr>
              <w:pStyle w:val="13"/>
            </w:pPr>
            <w:r>
              <w:t>≥90设备使用率（%）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通用设备运行或应用软件的满意率</w:t>
            </w:r>
          </w:p>
        </w:tc>
        <w:tc>
          <w:tcPr>
            <w:tcW w:w="2835" w:type="dxa"/>
            <w:vAlign w:val="center"/>
          </w:tcPr>
          <w:p>
            <w:pPr>
              <w:pStyle w:val="13"/>
            </w:pPr>
            <w:r>
              <w:t>服务申请单中满意的数量占服务申请单总数量的比率</w:t>
            </w:r>
          </w:p>
        </w:tc>
        <w:tc>
          <w:tcPr>
            <w:tcW w:w="2551" w:type="dxa"/>
            <w:vAlign w:val="center"/>
          </w:tcPr>
          <w:p>
            <w:pPr>
              <w:pStyle w:val="13"/>
            </w:pPr>
            <w:r>
              <w:t>≥95服务申请单中满意的数量占服务申请单总数量的比率</w:t>
            </w: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员额绩效考核奖金绩效目标表</w:t>
      </w:r>
    </w:p>
    <w:p>
      <w:pPr>
        <w:numPr>
          <w:ilvl w:val="0"/>
          <w:numId w:val="0"/>
        </w:numPr>
        <w:ind w:left="560" w:leftChars="0"/>
        <w:rPr>
          <w:rFonts w:ascii="方正仿宋_GBK" w:hAnsi="方正仿宋_GBK" w:eastAsia="方正仿宋_GBK" w:cs="方正仿宋_GBK"/>
          <w:b/>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1.为检察工作顺利开展提供保障。</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绩效评价</w:t>
            </w:r>
          </w:p>
        </w:tc>
        <w:tc>
          <w:tcPr>
            <w:tcW w:w="2835" w:type="dxa"/>
            <w:vAlign w:val="center"/>
          </w:tcPr>
          <w:p>
            <w:pPr>
              <w:pStyle w:val="13"/>
            </w:pPr>
            <w:r>
              <w:t>绩效评价</w:t>
            </w:r>
          </w:p>
        </w:tc>
        <w:tc>
          <w:tcPr>
            <w:tcW w:w="2551" w:type="dxa"/>
            <w:vAlign w:val="center"/>
          </w:tcPr>
          <w:p>
            <w:pPr>
              <w:pStyle w:val="13"/>
            </w:pPr>
            <w:r>
              <w:t>≥95综合业务工作任务完成情况占综合业务工作任务绩效评价情况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绩效评价报告数量</w:t>
            </w:r>
          </w:p>
        </w:tc>
        <w:tc>
          <w:tcPr>
            <w:tcW w:w="2835" w:type="dxa"/>
            <w:vAlign w:val="center"/>
          </w:tcPr>
          <w:p>
            <w:pPr>
              <w:pStyle w:val="13"/>
            </w:pPr>
            <w:r>
              <w:t>绩效评价报告数量</w:t>
            </w:r>
          </w:p>
        </w:tc>
        <w:tc>
          <w:tcPr>
            <w:tcW w:w="2551" w:type="dxa"/>
            <w:vAlign w:val="center"/>
          </w:tcPr>
          <w:p>
            <w:pPr>
              <w:pStyle w:val="13"/>
            </w:pPr>
            <w:r>
              <w:t>≥85绩效办结案件数量占立案案件总数的比率情况</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绩效评价报告及时性</w:t>
            </w:r>
          </w:p>
        </w:tc>
        <w:tc>
          <w:tcPr>
            <w:tcW w:w="2835" w:type="dxa"/>
            <w:vAlign w:val="center"/>
          </w:tcPr>
          <w:p>
            <w:pPr>
              <w:pStyle w:val="13"/>
            </w:pPr>
            <w:r>
              <w:t>绩效评价报告及时性</w:t>
            </w:r>
          </w:p>
        </w:tc>
        <w:tc>
          <w:tcPr>
            <w:tcW w:w="2551" w:type="dxa"/>
            <w:vAlign w:val="center"/>
          </w:tcPr>
          <w:p>
            <w:pPr>
              <w:pStyle w:val="13"/>
            </w:pPr>
            <w:r>
              <w:t>≥95法定审限内结案数占结案总数的比率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2835" w:type="dxa"/>
            <w:vAlign w:val="center"/>
          </w:tcPr>
          <w:p>
            <w:pPr>
              <w:pStyle w:val="13"/>
            </w:pPr>
            <w:r>
              <w:t>控制在预算内</w:t>
            </w:r>
          </w:p>
        </w:tc>
        <w:tc>
          <w:tcPr>
            <w:tcW w:w="2551" w:type="dxa"/>
            <w:vAlign w:val="center"/>
          </w:tcPr>
          <w:p>
            <w:pPr>
              <w:pStyle w:val="13"/>
            </w:pPr>
            <w:r>
              <w:t>≤90员额绩效奖金发放比例不可超过财政预算要求</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社会效益提升值%</w:t>
            </w:r>
          </w:p>
        </w:tc>
        <w:tc>
          <w:tcPr>
            <w:tcW w:w="2835" w:type="dxa"/>
            <w:vAlign w:val="center"/>
          </w:tcPr>
          <w:p>
            <w:pPr>
              <w:pStyle w:val="13"/>
            </w:pPr>
            <w:r>
              <w:t>社会效益提升值%</w:t>
            </w:r>
          </w:p>
        </w:tc>
        <w:tc>
          <w:tcPr>
            <w:tcW w:w="2551" w:type="dxa"/>
            <w:vAlign w:val="center"/>
          </w:tcPr>
          <w:p>
            <w:pPr>
              <w:pStyle w:val="13"/>
            </w:pPr>
            <w:r>
              <w:t>≥85错案数占受理案件数的比率(反向指标)</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鉴定结果采用率</w:t>
            </w:r>
          </w:p>
        </w:tc>
        <w:tc>
          <w:tcPr>
            <w:tcW w:w="2835" w:type="dxa"/>
            <w:vAlign w:val="center"/>
          </w:tcPr>
          <w:p>
            <w:pPr>
              <w:pStyle w:val="13"/>
            </w:pPr>
            <w:r>
              <w:t>鉴定结果采用率</w:t>
            </w:r>
          </w:p>
        </w:tc>
        <w:tc>
          <w:tcPr>
            <w:tcW w:w="2551" w:type="dxa"/>
            <w:vAlign w:val="center"/>
          </w:tcPr>
          <w:p>
            <w:pPr>
              <w:pStyle w:val="13"/>
            </w:pPr>
            <w:r>
              <w:t>≥70鉴定结果被采用率情况</w:t>
            </w:r>
          </w:p>
          <w:p>
            <w:pPr>
              <w:pStyle w:val="13"/>
            </w:pPr>
          </w:p>
          <w:p>
            <w:pPr>
              <w:pStyle w:val="13"/>
            </w:pP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提高效率</w:t>
            </w:r>
          </w:p>
        </w:tc>
        <w:tc>
          <w:tcPr>
            <w:tcW w:w="2835" w:type="dxa"/>
            <w:vAlign w:val="center"/>
          </w:tcPr>
          <w:p>
            <w:pPr>
              <w:pStyle w:val="13"/>
            </w:pPr>
            <w:r>
              <w:t>提高效率</w:t>
            </w:r>
          </w:p>
        </w:tc>
        <w:tc>
          <w:tcPr>
            <w:tcW w:w="2551" w:type="dxa"/>
            <w:vAlign w:val="center"/>
          </w:tcPr>
          <w:p>
            <w:pPr>
              <w:pStyle w:val="13"/>
            </w:pPr>
            <w:r>
              <w:t>≥60案件工作效率情况与绩效挂钩</w:t>
            </w:r>
          </w:p>
        </w:tc>
        <w:tc>
          <w:tcPr>
            <w:tcW w:w="2268" w:type="dxa"/>
            <w:vAlign w:val="center"/>
          </w:tcPr>
          <w:p>
            <w:pPr>
              <w:pStyle w:val="13"/>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2835" w:type="dxa"/>
            <w:vAlign w:val="center"/>
          </w:tcPr>
          <w:p>
            <w:pPr>
              <w:pStyle w:val="13"/>
            </w:pPr>
            <w:r>
              <w:t>调查中用户反馈满意和较满意的数量占调查用户总数量的比率</w:t>
            </w:r>
          </w:p>
        </w:tc>
        <w:tc>
          <w:tcPr>
            <w:tcW w:w="2551" w:type="dxa"/>
            <w:vAlign w:val="center"/>
          </w:tcPr>
          <w:p>
            <w:pPr>
              <w:pStyle w:val="13"/>
            </w:pPr>
            <w:r>
              <w:t>≥85调查中用户反馈满意和较满意的数量占调查用户总数量的比率</w:t>
            </w:r>
          </w:p>
          <w:p>
            <w:pPr>
              <w:pStyle w:val="13"/>
            </w:pPr>
          </w:p>
          <w:p>
            <w:pPr>
              <w:pStyle w:val="13"/>
            </w:pPr>
          </w:p>
        </w:tc>
        <w:tc>
          <w:tcPr>
            <w:tcW w:w="2268" w:type="dxa"/>
            <w:vAlign w:val="center"/>
          </w:tcPr>
          <w:p>
            <w:pPr>
              <w:pStyle w:val="13"/>
            </w:pPr>
            <w:r>
              <w:t>根据部门规定</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2022年，内丘县人民检察院本级安排政府采购预算0.00万元。具体内容见下表。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314001内丘县人民检察院本级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bookmarkStart w:id="1" w:name="_GoBack"/>
      <w:bookmarkEnd w:id="1"/>
    </w:p>
    <w:p>
      <w:pPr>
        <w:spacing w:line="500" w:lineRule="exact"/>
        <w:ind w:firstLine="560"/>
      </w:pPr>
      <w:r>
        <w:rPr>
          <w:rFonts w:eastAsia="方正仿宋_GBK"/>
          <w:color w:val="000000"/>
          <w:sz w:val="28"/>
        </w:rPr>
        <w:t>内丘县人民检察院本级上年末固定资产金额为</w:t>
      </w:r>
      <w:r>
        <w:rPr>
          <w:rFonts w:hint="eastAsia" w:eastAsia="方正仿宋_GBK"/>
          <w:color w:val="000000"/>
          <w:sz w:val="28"/>
          <w:lang w:val="en-US" w:eastAsia="zh-CN"/>
        </w:rPr>
        <w:t>3765.15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314001内丘县人民检察院本级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3765.15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6300</w:t>
            </w:r>
          </w:p>
        </w:tc>
        <w:tc>
          <w:tcPr>
            <w:tcW w:w="2835" w:type="dxa"/>
            <w:vAlign w:val="center"/>
          </w:tcPr>
          <w:p>
            <w:pPr>
              <w:pStyle w:val="12"/>
              <w:rPr>
                <w:rFonts w:hint="default" w:eastAsia="方正书宋_GBK"/>
                <w:lang w:val="en-US" w:eastAsia="zh-CN"/>
              </w:rPr>
            </w:pPr>
            <w:r>
              <w:rPr>
                <w:rFonts w:hint="eastAsia"/>
                <w:lang w:val="en-US" w:eastAsia="zh-CN"/>
              </w:rPr>
              <w:t>2800.65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537.4</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rPr>
                <w:rFonts w:hint="eastAsia"/>
                <w:lang w:val="en-US" w:eastAsia="zh-CN"/>
              </w:rPr>
              <w:t>6</w:t>
            </w:r>
          </w:p>
        </w:tc>
        <w:tc>
          <w:tcPr>
            <w:tcW w:w="2835" w:type="dxa"/>
            <w:vAlign w:val="center"/>
          </w:tcPr>
          <w:p>
            <w:pPr>
              <w:pStyle w:val="12"/>
              <w:rPr>
                <w:rFonts w:hint="default" w:eastAsia="方正书宋_GBK"/>
                <w:lang w:val="en-US" w:eastAsia="zh-CN"/>
              </w:rPr>
            </w:pPr>
            <w:r>
              <w:rPr>
                <w:rFonts w:hint="eastAsia"/>
                <w:lang w:val="en-US" w:eastAsia="zh-CN"/>
              </w:rPr>
              <w:t>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1750</w:t>
            </w:r>
          </w:p>
        </w:tc>
        <w:tc>
          <w:tcPr>
            <w:tcW w:w="2835" w:type="dxa"/>
            <w:vAlign w:val="center"/>
          </w:tcPr>
          <w:p>
            <w:pPr>
              <w:pStyle w:val="12"/>
              <w:rPr>
                <w:rFonts w:hint="default" w:eastAsia="方正书宋_GBK"/>
                <w:lang w:val="en-US" w:eastAsia="zh-CN"/>
              </w:rPr>
            </w:pPr>
            <w:r>
              <w:rPr>
                <w:rFonts w:hint="eastAsia"/>
                <w:lang w:val="en-US" w:eastAsia="zh-CN"/>
              </w:rPr>
              <w:t>889.26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BFF25"/>
    <w:multiLevelType w:val="singleLevel"/>
    <w:tmpl w:val="01DBFF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lhOWI2MDJkNDViZGRlZmFkZmE4ZWE4YWQ4MTY0ZTgifQ=="/>
  </w:docVars>
  <w:rsids>
    <w:rsidRoot w:val="00172A27"/>
    <w:rsid w:val="007579B9"/>
    <w:rsid w:val="009C2EF7"/>
    <w:rsid w:val="00E4390F"/>
    <w:rsid w:val="06030348"/>
    <w:rsid w:val="0D1D3810"/>
    <w:rsid w:val="33954E5E"/>
    <w:rsid w:val="39A62DC2"/>
    <w:rsid w:val="3D8C4D60"/>
    <w:rsid w:val="3DEE5150"/>
    <w:rsid w:val="420346DA"/>
    <w:rsid w:val="55FD0951"/>
    <w:rsid w:val="586C611B"/>
    <w:rsid w:val="6AB311BF"/>
    <w:rsid w:val="75A814B3"/>
    <w:rsid w:val="7B42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0"/>
    <w:pPr>
      <w:spacing w:before="120" w:beforeLines="0" w:afterLines="0"/>
      <w:ind w:firstLine="560"/>
    </w:pPr>
    <w:rPr>
      <w:rFonts w:hint="default" w:eastAsia="方正仿宋_GBK"/>
      <w:color w:val="000000"/>
      <w:sz w:val="28"/>
      <w:szCs w:val="24"/>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hint="default" w:eastAsia="方正仿宋_GBK"/>
      <w:color w:val="00000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3" Type="http://schemas.openxmlformats.org/officeDocument/2006/relationships/fontTable" Target="fontTable.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2022-07-28T09:18:53Z</dcterms:created>
  <dcterms:modified xsi:type="dcterms:W3CDTF">2022-07-28T01:18:53Z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2022-07-28T09:18:50Z</dcterms:created>
  <dcterms:modified xsi:type="dcterms:W3CDTF">2022-07-28T01:18:50Z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2022-07-28T09:18:53Z</dcterms:created>
  <dcterms:modified xsi:type="dcterms:W3CDTF">2022-07-28T01:18:53Z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2022-07-28T09:18:50Z</dcterms:created>
  <dcterms:modified xsi:type="dcterms:W3CDTF">2022-07-28T01:18:50Z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2022-07-28T09:18:53Z</dcterms:created>
  <dcterms:modified xsi:type="dcterms:W3CDTF">2022-07-28T01:18:53Z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2022-07-28T09:18:48Z</dcterms:created>
  <dcterms:modified xsi:type="dcterms:W3CDTF">2022-07-28T01:18:48Z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2022-07-28T09:18:51Z</dcterms:created>
  <dcterms:modified xsi:type="dcterms:W3CDTF">2022-07-28T01:18:51Z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2022-07-28T09:18:53Z</dcterms:created>
  <dcterms:modified xsi:type="dcterms:W3CDTF">2022-07-28T01:18:53Z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2022-07-28T09:18:52Z</dcterms:created>
  <dcterms:modified xsi:type="dcterms:W3CDTF">2022-07-28T01:18:52Z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2022-07-28T09:18:50Z</dcterms:created>
  <dcterms:modified xsi:type="dcterms:W3CDTF">2022-07-28T01:18:50Z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2022-07-28T09:18:49Z</dcterms:created>
  <dcterms:modified xsi:type="dcterms:W3CDTF">2022-07-28T01:18:49Z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2A86401-59A8-43BC-8AFF-9498AE793070}">
  <ds:schemaRefs/>
</ds:datastoreItem>
</file>

<file path=customXml/itemProps11.xml><?xml version="1.0" encoding="utf-8"?>
<ds:datastoreItem xmlns:ds="http://schemas.openxmlformats.org/officeDocument/2006/customXml" ds:itemID="{C2892C28-6319-4FEE-8A0B-99C8D9DFCA34}">
  <ds:schemaRefs/>
</ds:datastoreItem>
</file>

<file path=customXml/itemProps12.xml><?xml version="1.0" encoding="utf-8"?>
<ds:datastoreItem xmlns:ds="http://schemas.openxmlformats.org/officeDocument/2006/customXml" ds:itemID="{EBE5F9BC-002B-4E8F-8D5C-1E5467B905A6}">
  <ds:schemaRefs/>
</ds:datastoreItem>
</file>

<file path=customXml/itemProps13.xml><?xml version="1.0" encoding="utf-8"?>
<ds:datastoreItem xmlns:ds="http://schemas.openxmlformats.org/officeDocument/2006/customXml" ds:itemID="{8469DEA9-C146-475B-9ED8-E62AB2A07EB1}">
  <ds:schemaRefs/>
</ds:datastoreItem>
</file>

<file path=customXml/itemProps14.xml><?xml version="1.0" encoding="utf-8"?>
<ds:datastoreItem xmlns:ds="http://schemas.openxmlformats.org/officeDocument/2006/customXml" ds:itemID="{28E825F0-7FB6-4DFE-BC00-F9B7E0AE7257}">
  <ds:schemaRefs/>
</ds:datastoreItem>
</file>

<file path=customXml/itemProps15.xml><?xml version="1.0" encoding="utf-8"?>
<ds:datastoreItem xmlns:ds="http://schemas.openxmlformats.org/officeDocument/2006/customXml" ds:itemID="{F3D9CA3A-99A0-4EB4-9656-DC2BB7626FF7}">
  <ds:schemaRefs/>
</ds:datastoreItem>
</file>

<file path=customXml/itemProps16.xml><?xml version="1.0" encoding="utf-8"?>
<ds:datastoreItem xmlns:ds="http://schemas.openxmlformats.org/officeDocument/2006/customXml" ds:itemID="{FEC85F11-D7B7-4933-A73F-121524246313}">
  <ds:schemaRefs/>
</ds:datastoreItem>
</file>

<file path=customXml/itemProps17.xml><?xml version="1.0" encoding="utf-8"?>
<ds:datastoreItem xmlns:ds="http://schemas.openxmlformats.org/officeDocument/2006/customXml" ds:itemID="{5667B0E7-9523-4C71-943E-77EED6DF7F91}">
  <ds:schemaRefs/>
</ds:datastoreItem>
</file>

<file path=customXml/itemProps18.xml><?xml version="1.0" encoding="utf-8"?>
<ds:datastoreItem xmlns:ds="http://schemas.openxmlformats.org/officeDocument/2006/customXml" ds:itemID="{7470A632-29B8-42B2-9AC5-AD067154598C}">
  <ds:schemaRefs/>
</ds:datastoreItem>
</file>

<file path=customXml/itemProps19.xml><?xml version="1.0" encoding="utf-8"?>
<ds:datastoreItem xmlns:ds="http://schemas.openxmlformats.org/officeDocument/2006/customXml" ds:itemID="{9E5703CF-90FD-4F5D-B8DE-43C4B8AFFF28}">
  <ds:schemaRefs/>
</ds:datastoreItem>
</file>

<file path=customXml/itemProps2.xml><?xml version="1.0" encoding="utf-8"?>
<ds:datastoreItem xmlns:ds="http://schemas.openxmlformats.org/officeDocument/2006/customXml" ds:itemID="{B5EB9E38-EAC9-4199-8119-BBE93D5E5F0A}">
  <ds:schemaRefs/>
</ds:datastoreItem>
</file>

<file path=customXml/itemProps20.xml><?xml version="1.0" encoding="utf-8"?>
<ds:datastoreItem xmlns:ds="http://schemas.openxmlformats.org/officeDocument/2006/customXml" ds:itemID="{4C4E0BE1-4D27-42AF-B3D8-F9D5CE6F0BCD}">
  <ds:schemaRefs/>
</ds:datastoreItem>
</file>

<file path=customXml/itemProps21.xml><?xml version="1.0" encoding="utf-8"?>
<ds:datastoreItem xmlns:ds="http://schemas.openxmlformats.org/officeDocument/2006/customXml" ds:itemID="{F2C591E1-19AE-48CF-A502-DFF75B69AAED}">
  <ds:schemaRefs/>
</ds:datastoreItem>
</file>

<file path=customXml/itemProps22.xml><?xml version="1.0" encoding="utf-8"?>
<ds:datastoreItem xmlns:ds="http://schemas.openxmlformats.org/officeDocument/2006/customXml" ds:itemID="{2F10ECA1-86CF-451A-AA7A-2533D1001E1B}">
  <ds:schemaRefs/>
</ds:datastoreItem>
</file>

<file path=customXml/itemProps23.xml><?xml version="1.0" encoding="utf-8"?>
<ds:datastoreItem xmlns:ds="http://schemas.openxmlformats.org/officeDocument/2006/customXml" ds:itemID="{BD683CDA-9537-403D-8AE0-D5D15B5483BB}">
  <ds:schemaRefs/>
</ds:datastoreItem>
</file>

<file path=customXml/itemProps24.xml><?xml version="1.0" encoding="utf-8"?>
<ds:datastoreItem xmlns:ds="http://schemas.openxmlformats.org/officeDocument/2006/customXml" ds:itemID="{0851B8E7-468E-46EA-B9C9-C8B8C714EEE0}">
  <ds:schemaRefs/>
</ds:datastoreItem>
</file>

<file path=customXml/itemProps25.xml><?xml version="1.0" encoding="utf-8"?>
<ds:datastoreItem xmlns:ds="http://schemas.openxmlformats.org/officeDocument/2006/customXml" ds:itemID="{8B0358BE-F774-44DC-A87F-E2715171336A}">
  <ds:schemaRefs/>
</ds:datastoreItem>
</file>

<file path=customXml/itemProps26.xml><?xml version="1.0" encoding="utf-8"?>
<ds:datastoreItem xmlns:ds="http://schemas.openxmlformats.org/officeDocument/2006/customXml" ds:itemID="{020C3E6B-E09A-4025-ADFC-694255A73084}">
  <ds:schemaRefs/>
</ds:datastoreItem>
</file>

<file path=customXml/itemProps27.xml><?xml version="1.0" encoding="utf-8"?>
<ds:datastoreItem xmlns:ds="http://schemas.openxmlformats.org/officeDocument/2006/customXml" ds:itemID="{7C673241-08F6-445B-B8E1-AB4AC0F27897}">
  <ds:schemaRefs/>
</ds:datastoreItem>
</file>

<file path=customXml/itemProps28.xml><?xml version="1.0" encoding="utf-8"?>
<ds:datastoreItem xmlns:ds="http://schemas.openxmlformats.org/officeDocument/2006/customXml" ds:itemID="{A0F65F78-77BC-4B0A-B4A5-D6EDE7454E96}">
  <ds:schemaRefs/>
</ds:datastoreItem>
</file>

<file path=customXml/itemProps29.xml><?xml version="1.0" encoding="utf-8"?>
<ds:datastoreItem xmlns:ds="http://schemas.openxmlformats.org/officeDocument/2006/customXml" ds:itemID="{8C3A5BC8-A387-4DB7-84B2-CD302F1D7A1C}">
  <ds:schemaRefs/>
</ds:datastoreItem>
</file>

<file path=customXml/itemProps3.xml><?xml version="1.0" encoding="utf-8"?>
<ds:datastoreItem xmlns:ds="http://schemas.openxmlformats.org/officeDocument/2006/customXml" ds:itemID="{95D8D31E-7205-49DF-9F0C-E714FA2E7613}">
  <ds:schemaRefs/>
</ds:datastoreItem>
</file>

<file path=customXml/itemProps30.xml><?xml version="1.0" encoding="utf-8"?>
<ds:datastoreItem xmlns:ds="http://schemas.openxmlformats.org/officeDocument/2006/customXml" ds:itemID="{37DD8134-8673-427B-8DE9-4F99DA9DF78E}">
  <ds:schemaRefs/>
</ds:datastoreItem>
</file>

<file path=customXml/itemProps31.xml><?xml version="1.0" encoding="utf-8"?>
<ds:datastoreItem xmlns:ds="http://schemas.openxmlformats.org/officeDocument/2006/customXml" ds:itemID="{2ADF8381-2886-4E63-98CB-E7E5F15C6D9F}">
  <ds:schemaRefs/>
</ds:datastoreItem>
</file>

<file path=customXml/itemProps32.xml><?xml version="1.0" encoding="utf-8"?>
<ds:datastoreItem xmlns:ds="http://schemas.openxmlformats.org/officeDocument/2006/customXml" ds:itemID="{B0363E85-960C-4A23-ACC1-28CC3B0C1AC5}">
  <ds:schemaRefs/>
</ds:datastoreItem>
</file>

<file path=customXml/itemProps33.xml><?xml version="1.0" encoding="utf-8"?>
<ds:datastoreItem xmlns:ds="http://schemas.openxmlformats.org/officeDocument/2006/customXml" ds:itemID="{C293CD8B-B84C-4A85-A521-AE930F2D67F5}">
  <ds:schemaRefs/>
</ds:datastoreItem>
</file>

<file path=customXml/itemProps34.xml><?xml version="1.0" encoding="utf-8"?>
<ds:datastoreItem xmlns:ds="http://schemas.openxmlformats.org/officeDocument/2006/customXml" ds:itemID="{E46A2EF0-725E-4795-9D7E-446EC4821303}">
  <ds:schemaRefs/>
</ds:datastoreItem>
</file>

<file path=customXml/itemProps35.xml><?xml version="1.0" encoding="utf-8"?>
<ds:datastoreItem xmlns:ds="http://schemas.openxmlformats.org/officeDocument/2006/customXml" ds:itemID="{B61D09E8-1B37-4067-A895-F0D02C41AA33}">
  <ds:schemaRefs/>
</ds:datastoreItem>
</file>

<file path=customXml/itemProps36.xml><?xml version="1.0" encoding="utf-8"?>
<ds:datastoreItem xmlns:ds="http://schemas.openxmlformats.org/officeDocument/2006/customXml" ds:itemID="{B3E9FA54-CC44-44F8-9079-E267FA27C7C2}">
  <ds:schemaRefs/>
</ds:datastoreItem>
</file>

<file path=customXml/itemProps37.xml><?xml version="1.0" encoding="utf-8"?>
<ds:datastoreItem xmlns:ds="http://schemas.openxmlformats.org/officeDocument/2006/customXml" ds:itemID="{2F587E7E-7935-4632-ADF0-E53B377FC52B}">
  <ds:schemaRefs/>
</ds:datastoreItem>
</file>

<file path=customXml/itemProps38.xml><?xml version="1.0" encoding="utf-8"?>
<ds:datastoreItem xmlns:ds="http://schemas.openxmlformats.org/officeDocument/2006/customXml" ds:itemID="{D3AC1E2D-B52D-4ED5-A216-DDBF26DBA11A}">
  <ds:schemaRefs/>
</ds:datastoreItem>
</file>

<file path=customXml/itemProps39.xml><?xml version="1.0" encoding="utf-8"?>
<ds:datastoreItem xmlns:ds="http://schemas.openxmlformats.org/officeDocument/2006/customXml" ds:itemID="{3A5300C0-7BC6-452B-ADB7-96426C639F26}">
  <ds:schemaRefs/>
</ds:datastoreItem>
</file>

<file path=customXml/itemProps4.xml><?xml version="1.0" encoding="utf-8"?>
<ds:datastoreItem xmlns:ds="http://schemas.openxmlformats.org/officeDocument/2006/customXml" ds:itemID="{5A774844-89EF-48AE-88EA-88CD1D64AA9B}">
  <ds:schemaRefs/>
</ds:datastoreItem>
</file>

<file path=customXml/itemProps40.xml><?xml version="1.0" encoding="utf-8"?>
<ds:datastoreItem xmlns:ds="http://schemas.openxmlformats.org/officeDocument/2006/customXml" ds:itemID="{0C357F31-6651-422A-90F2-D7FED6D75FA6}">
  <ds:schemaRefs/>
</ds:datastoreItem>
</file>

<file path=customXml/itemProps41.xml><?xml version="1.0" encoding="utf-8"?>
<ds:datastoreItem xmlns:ds="http://schemas.openxmlformats.org/officeDocument/2006/customXml" ds:itemID="{D239FFB3-E694-4060-98A2-47BDC6857CDB}">
  <ds:schemaRefs/>
</ds:datastoreItem>
</file>

<file path=customXml/itemProps42.xml><?xml version="1.0" encoding="utf-8"?>
<ds:datastoreItem xmlns:ds="http://schemas.openxmlformats.org/officeDocument/2006/customXml" ds:itemID="{187B8E07-CF51-4DD7-9BB4-E2ABD0F13DA6}">
  <ds:schemaRefs/>
</ds:datastoreItem>
</file>

<file path=customXml/itemProps43.xml><?xml version="1.0" encoding="utf-8"?>
<ds:datastoreItem xmlns:ds="http://schemas.openxmlformats.org/officeDocument/2006/customXml" ds:itemID="{05676FD2-7D7F-4918-BF5F-78DCB4E074D8}">
  <ds:schemaRefs/>
</ds:datastoreItem>
</file>

<file path=customXml/itemProps44.xml><?xml version="1.0" encoding="utf-8"?>
<ds:datastoreItem xmlns:ds="http://schemas.openxmlformats.org/officeDocument/2006/customXml" ds:itemID="{73A7C493-07C4-43FA-84C8-E46C00301F05}">
  <ds:schemaRefs/>
</ds:datastoreItem>
</file>

<file path=customXml/itemProps45.xml><?xml version="1.0" encoding="utf-8"?>
<ds:datastoreItem xmlns:ds="http://schemas.openxmlformats.org/officeDocument/2006/customXml" ds:itemID="{53738738-39FB-4AA3-8F30-7B5B30036DA6}">
  <ds:schemaRefs/>
</ds:datastoreItem>
</file>

<file path=customXml/itemProps46.xml><?xml version="1.0" encoding="utf-8"?>
<ds:datastoreItem xmlns:ds="http://schemas.openxmlformats.org/officeDocument/2006/customXml" ds:itemID="{49715F95-D5BB-40EB-9FA6-F47FAD1C1416}">
  <ds:schemaRefs/>
</ds:datastoreItem>
</file>

<file path=customXml/itemProps47.xml><?xml version="1.0" encoding="utf-8"?>
<ds:datastoreItem xmlns:ds="http://schemas.openxmlformats.org/officeDocument/2006/customXml" ds:itemID="{3B007B05-A6C7-48CB-AE2B-E8B26E8C4B94}">
  <ds:schemaRefs/>
</ds:datastoreItem>
</file>

<file path=customXml/itemProps48.xml><?xml version="1.0" encoding="utf-8"?>
<ds:datastoreItem xmlns:ds="http://schemas.openxmlformats.org/officeDocument/2006/customXml" ds:itemID="{E4BFFB5F-59DB-4D08-A338-158039478F3E}">
  <ds:schemaRefs/>
</ds:datastoreItem>
</file>

<file path=customXml/itemProps49.xml><?xml version="1.0" encoding="utf-8"?>
<ds:datastoreItem xmlns:ds="http://schemas.openxmlformats.org/officeDocument/2006/customXml" ds:itemID="{B3B2C504-0EFD-4D1B-B846-4CFBC85C23CC}">
  <ds:schemaRefs/>
</ds:datastoreItem>
</file>

<file path=customXml/itemProps5.xml><?xml version="1.0" encoding="utf-8"?>
<ds:datastoreItem xmlns:ds="http://schemas.openxmlformats.org/officeDocument/2006/customXml" ds:itemID="{C724DEA6-4EFA-46D2-B5D1-B4370D8FFAEC}">
  <ds:schemaRefs/>
</ds:datastoreItem>
</file>

<file path=customXml/itemProps50.xml><?xml version="1.0" encoding="utf-8"?>
<ds:datastoreItem xmlns:ds="http://schemas.openxmlformats.org/officeDocument/2006/customXml" ds:itemID="{88B2B0C9-C6D4-4786-91AD-52D30CCB1B69}">
  <ds:schemaRefs/>
</ds:datastoreItem>
</file>

<file path=customXml/itemProps51.xml><?xml version="1.0" encoding="utf-8"?>
<ds:datastoreItem xmlns:ds="http://schemas.openxmlformats.org/officeDocument/2006/customXml" ds:itemID="{E1CE0132-2494-4AA7-80B3-EB013C3A4ADB}">
  <ds:schemaRefs/>
</ds:datastoreItem>
</file>

<file path=customXml/itemProps52.xml><?xml version="1.0" encoding="utf-8"?>
<ds:datastoreItem xmlns:ds="http://schemas.openxmlformats.org/officeDocument/2006/customXml" ds:itemID="{39F91DDE-15CC-4FD6-8FB6-948E1E96E2E5}">
  <ds:schemaRefs/>
</ds:datastoreItem>
</file>

<file path=customXml/itemProps53.xml><?xml version="1.0" encoding="utf-8"?>
<ds:datastoreItem xmlns:ds="http://schemas.openxmlformats.org/officeDocument/2006/customXml" ds:itemID="{A58CE76D-0874-451D-A1B3-B2E45E371E5A}">
  <ds:schemaRefs/>
</ds:datastoreItem>
</file>

<file path=customXml/itemProps54.xml><?xml version="1.0" encoding="utf-8"?>
<ds:datastoreItem xmlns:ds="http://schemas.openxmlformats.org/officeDocument/2006/customXml" ds:itemID="{0C4503D4-3D0F-4C13-9CF3-F585AD46701F}">
  <ds:schemaRefs/>
</ds:datastoreItem>
</file>

<file path=customXml/itemProps55.xml><?xml version="1.0" encoding="utf-8"?>
<ds:datastoreItem xmlns:ds="http://schemas.openxmlformats.org/officeDocument/2006/customXml" ds:itemID="{5729E1BA-1F4B-4595-9166-F2EA8A1D43DE}">
  <ds:schemaRefs/>
</ds:datastoreItem>
</file>

<file path=customXml/itemProps6.xml><?xml version="1.0" encoding="utf-8"?>
<ds:datastoreItem xmlns:ds="http://schemas.openxmlformats.org/officeDocument/2006/customXml" ds:itemID="{F37B4922-3FFC-4A55-BBBE-6C65DF8A9C05}">
  <ds:schemaRefs/>
</ds:datastoreItem>
</file>

<file path=customXml/itemProps7.xml><?xml version="1.0" encoding="utf-8"?>
<ds:datastoreItem xmlns:ds="http://schemas.openxmlformats.org/officeDocument/2006/customXml" ds:itemID="{74BB87D4-5E7D-40B0-B3C2-147D7B430A25}">
  <ds:schemaRefs/>
</ds:datastoreItem>
</file>

<file path=customXml/itemProps8.xml><?xml version="1.0" encoding="utf-8"?>
<ds:datastoreItem xmlns:ds="http://schemas.openxmlformats.org/officeDocument/2006/customXml" ds:itemID="{2C847268-2BF7-4BD3-B832-54DBE09A17FB}">
  <ds:schemaRefs/>
</ds:datastoreItem>
</file>

<file path=customXml/itemProps9.xml><?xml version="1.0" encoding="utf-8"?>
<ds:datastoreItem xmlns:ds="http://schemas.openxmlformats.org/officeDocument/2006/customXml" ds:itemID="{7D228D3B-3723-485F-A9F7-EF30574EE629}">
  <ds:schemaRefs/>
</ds:datastoreItem>
</file>

<file path=docProps/app.xml><?xml version="1.0" encoding="utf-8"?>
<Properties xmlns="http://schemas.openxmlformats.org/officeDocument/2006/extended-properties" xmlns:vt="http://schemas.openxmlformats.org/officeDocument/2006/docPropsVTypes">
  <Template>Normal</Template>
  <Pages>33</Pages>
  <Words>10477</Words>
  <Characters>12113</Characters>
  <Lines>244</Lines>
  <Paragraphs>68</Paragraphs>
  <TotalTime>8</TotalTime>
  <ScaleCrop>false</ScaleCrop>
  <LinksUpToDate>false</LinksUpToDate>
  <CharactersWithSpaces>12269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2022-07-28T01:34:00Z</dcterms:created>
  <dc:creator>Administrator</dc:creator>
  <cp:lastModifiedBy>内丘县人民检察院</cp:lastModifiedBy>
  <dcterms:modified xsi:type="dcterms:W3CDTF">2023-02-28T02:02:48Z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CFC69DC614454F01BA45093760311C3F</vt:lpwstr>
  </property>
</Properties>
</file>